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left"/>
        <w:rPr>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Analyse de l’engagement de la génération Z envers le visionnage ritualisé durant le mois de Ramadan: Élargissement du modèle d’investissement</w:t>
      </w:r>
    </w:p>
    <w:p w:rsidR="00000000" w:rsidDel="00000000" w:rsidP="00000000" w:rsidRDefault="00000000" w:rsidRPr="00000000" w14:paraId="00000003">
      <w:pPr>
        <w:spacing w:line="240" w:lineRule="auto"/>
        <w:jc w:val="center"/>
        <w:rPr>
          <w:b w:val="1"/>
          <w:bCs w:val="1"/>
          <w:sz w:val="28"/>
          <w:szCs w:val="28"/>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Examining Gen Z’s Commitment to Ritualized Streaming During Ramadan: An Extension of the Investment Model </w:t>
      </w:r>
    </w:p>
    <w:p w:rsidR="00000000" w:rsidDel="00000000" w:rsidP="00000000" w:rsidRDefault="00000000" w:rsidRPr="00000000" w14:paraId="0000000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6">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7">
      <w:pPr>
        <w:spacing w:line="240" w:lineRule="auto"/>
        <w:jc w:val="center"/>
        <w:rPr>
          <w:b w:val="1"/>
          <w:bCs w:val="1"/>
          <w:sz w:val="24"/>
          <w:szCs w:val="24"/>
        </w:rPr>
      </w:pPr>
      <w:r w:rsidDel="00000000" w:rsidR="00000000" w:rsidRPr="00000000">
        <w:rPr>
          <w:b w:val="1"/>
          <w:bCs w:val="1"/>
          <w:sz w:val="24"/>
          <w:szCs w:val="24"/>
          <w:rtl w:val="0"/>
        </w:rPr>
        <w:t xml:space="preserve">Akrimi Yosra</w:t>
      </w:r>
    </w:p>
    <w:p w:rsidR="00000000" w:rsidDel="00000000" w:rsidP="00000000" w:rsidRDefault="00000000" w:rsidRPr="00000000" w14:paraId="00000008">
      <w:pPr>
        <w:spacing w:line="240" w:lineRule="auto"/>
        <w:jc w:val="center"/>
        <w:rPr>
          <w:sz w:val="24"/>
          <w:szCs w:val="24"/>
        </w:rPr>
      </w:pPr>
      <w:r w:rsidDel="00000000" w:rsidR="00000000" w:rsidRPr="00000000">
        <w:rPr>
          <w:sz w:val="24"/>
          <w:szCs w:val="24"/>
          <w:rtl w:val="0"/>
        </w:rPr>
        <w:t xml:space="preserve">Enseignant chercheur</w:t>
      </w:r>
    </w:p>
    <w:p w:rsidR="00000000" w:rsidDel="00000000" w:rsidP="00000000" w:rsidRDefault="00000000" w:rsidRPr="00000000" w14:paraId="00000009">
      <w:pPr>
        <w:spacing w:line="240" w:lineRule="auto"/>
        <w:jc w:val="center"/>
        <w:rPr>
          <w:sz w:val="24"/>
          <w:szCs w:val="24"/>
        </w:rPr>
      </w:pPr>
      <w:r w:rsidDel="00000000" w:rsidR="00000000" w:rsidRPr="00000000">
        <w:rPr>
          <w:sz w:val="24"/>
          <w:szCs w:val="24"/>
          <w:rtl w:val="0"/>
        </w:rPr>
        <w:t xml:space="preserve">Institut supérieur des sciences et technologies de l’environnement-Borj Cédria</w:t>
      </w:r>
    </w:p>
    <w:p w:rsidR="00000000" w:rsidDel="00000000" w:rsidP="00000000" w:rsidRDefault="00000000" w:rsidRPr="00000000" w14:paraId="0000000A">
      <w:pPr>
        <w:spacing w:line="240" w:lineRule="auto"/>
        <w:jc w:val="center"/>
        <w:rPr>
          <w:sz w:val="24"/>
          <w:szCs w:val="24"/>
        </w:rPr>
      </w:pPr>
      <w:r w:rsidDel="00000000" w:rsidR="00000000" w:rsidRPr="00000000">
        <w:rPr>
          <w:sz w:val="24"/>
          <w:szCs w:val="24"/>
          <w:rtl w:val="0"/>
        </w:rPr>
        <w:t xml:space="preserve">Université de Carthage, Tunisie</w:t>
      </w:r>
    </w:p>
    <w:p w:rsidR="00000000" w:rsidDel="00000000" w:rsidP="00000000" w:rsidRDefault="00000000" w:rsidRPr="00000000" w14:paraId="0000000B">
      <w:pPr>
        <w:spacing w:line="240" w:lineRule="auto"/>
        <w:jc w:val="center"/>
        <w:rPr>
          <w:sz w:val="24"/>
          <w:szCs w:val="24"/>
        </w:rPr>
      </w:pPr>
      <w:r w:rsidDel="00000000" w:rsidR="00000000" w:rsidRPr="00000000">
        <w:rPr>
          <w:sz w:val="24"/>
          <w:szCs w:val="24"/>
          <w:rtl w:val="0"/>
        </w:rPr>
        <w:t xml:space="preserve">Laboratoire de Recherche en Marketing-Faculté des sciences économiques et de Gestion de Sfax-Université de Sfax, Tunisie</w:t>
      </w:r>
    </w:p>
    <w:p w:rsidR="00000000" w:rsidDel="00000000" w:rsidP="00000000" w:rsidRDefault="00000000" w:rsidRPr="00000000" w14:paraId="0000000C">
      <w:pPr>
        <w:spacing w:line="240" w:lineRule="auto"/>
        <w:jc w:val="center"/>
        <w:rPr>
          <w:b w:val="1"/>
          <w:bCs w:val="1"/>
          <w:sz w:val="24"/>
          <w:szCs w:val="24"/>
        </w:rPr>
      </w:pPr>
      <w:r w:rsidDel="00000000" w:rsidR="00000000" w:rsidRPr="00000000">
        <w:rPr>
          <w:b w:val="1"/>
          <w:bCs w:val="1"/>
          <w:sz w:val="24"/>
          <w:szCs w:val="24"/>
          <w:rtl w:val="0"/>
        </w:rPr>
        <w:t xml:space="preserve">yosra.akrimi@isste.ucar.tn</w:t>
      </w:r>
    </w:p>
    <w:p w:rsidR="00000000" w:rsidDel="00000000" w:rsidP="00000000" w:rsidRDefault="00000000" w:rsidRPr="00000000" w14:paraId="0000000D">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E">
      <w:pPr>
        <w:spacing w:line="240" w:lineRule="auto"/>
        <w:jc w:val="center"/>
        <w:rPr>
          <w:b w:val="1"/>
          <w:bCs w:val="1"/>
          <w:sz w:val="24"/>
          <w:szCs w:val="24"/>
        </w:rPr>
      </w:pPr>
      <w:r w:rsidDel="00000000" w:rsidR="00000000" w:rsidRPr="00000000">
        <w:rPr>
          <w:b w:val="1"/>
          <w:bCs w:val="1"/>
          <w:sz w:val="24"/>
          <w:szCs w:val="24"/>
          <w:rtl w:val="0"/>
        </w:rPr>
        <w:t xml:space="preserve">Noumi Rafika</w:t>
      </w:r>
    </w:p>
    <w:p w:rsidR="00000000" w:rsidDel="00000000" w:rsidP="00000000" w:rsidRDefault="00000000" w:rsidRPr="00000000" w14:paraId="0000000F">
      <w:pPr>
        <w:spacing w:line="240" w:lineRule="auto"/>
        <w:jc w:val="center"/>
        <w:rPr>
          <w:sz w:val="24"/>
          <w:szCs w:val="24"/>
        </w:rPr>
      </w:pPr>
      <w:r w:rsidDel="00000000" w:rsidR="00000000" w:rsidRPr="00000000">
        <w:rPr>
          <w:sz w:val="24"/>
          <w:szCs w:val="24"/>
          <w:rtl w:val="0"/>
        </w:rPr>
        <w:t xml:space="preserve">Docteur en marketing</w:t>
      </w:r>
    </w:p>
    <w:p w:rsidR="00000000" w:rsidDel="00000000" w:rsidP="00000000" w:rsidRDefault="00000000" w:rsidRPr="00000000" w14:paraId="00000010">
      <w:pPr>
        <w:spacing w:line="240" w:lineRule="auto"/>
        <w:jc w:val="center"/>
        <w:rPr>
          <w:sz w:val="24"/>
          <w:szCs w:val="24"/>
        </w:rPr>
      </w:pPr>
      <w:r w:rsidDel="00000000" w:rsidR="00000000" w:rsidRPr="00000000">
        <w:rPr>
          <w:sz w:val="24"/>
          <w:szCs w:val="24"/>
          <w:rtl w:val="0"/>
        </w:rPr>
        <w:t xml:space="preserve">Faculté des sciences économiques et de gestion de Sfax</w:t>
      </w:r>
    </w:p>
    <w:p w:rsidR="00000000" w:rsidDel="00000000" w:rsidP="00000000" w:rsidRDefault="00000000" w:rsidRPr="00000000" w14:paraId="00000011">
      <w:pPr>
        <w:spacing w:line="240" w:lineRule="auto"/>
        <w:jc w:val="center"/>
        <w:rPr>
          <w:sz w:val="24"/>
          <w:szCs w:val="24"/>
        </w:rPr>
      </w:pPr>
      <w:r w:rsidDel="00000000" w:rsidR="00000000" w:rsidRPr="00000000">
        <w:rPr>
          <w:sz w:val="24"/>
          <w:szCs w:val="24"/>
          <w:rtl w:val="0"/>
        </w:rPr>
        <w:t xml:space="preserve">Université de Sfax, Tunisie</w:t>
      </w:r>
    </w:p>
    <w:p w:rsidR="00000000" w:rsidDel="00000000" w:rsidP="00000000" w:rsidRDefault="00000000" w:rsidRPr="00000000" w14:paraId="00000012">
      <w:pPr>
        <w:spacing w:line="240" w:lineRule="auto"/>
        <w:jc w:val="center"/>
        <w:rPr>
          <w:sz w:val="24"/>
          <w:szCs w:val="24"/>
        </w:rPr>
      </w:pPr>
      <w:r w:rsidDel="00000000" w:rsidR="00000000" w:rsidRPr="00000000">
        <w:rPr>
          <w:sz w:val="24"/>
          <w:szCs w:val="24"/>
          <w:rtl w:val="0"/>
        </w:rPr>
        <w:t xml:space="preserve">Laboratoire de Recherche en Marketing</w:t>
      </w:r>
    </w:p>
    <w:p w:rsidR="00000000" w:rsidDel="00000000" w:rsidP="00000000" w:rsidRDefault="00000000" w:rsidRPr="00000000" w14:paraId="00000013">
      <w:pPr>
        <w:spacing w:line="240" w:lineRule="auto"/>
        <w:jc w:val="center"/>
        <w:rPr>
          <w:b w:val="1"/>
          <w:bCs w:val="1"/>
          <w:sz w:val="24"/>
          <w:szCs w:val="24"/>
        </w:rPr>
      </w:pPr>
      <w:r w:rsidDel="00000000" w:rsidR="00000000" w:rsidRPr="00000000">
        <w:rPr>
          <w:b w:val="1"/>
          <w:bCs w:val="1"/>
          <w:sz w:val="24"/>
          <w:szCs w:val="24"/>
          <w:rtl w:val="0"/>
        </w:rPr>
        <w:t xml:space="preserve">noumi.rafika@gmail.com</w:t>
      </w:r>
    </w:p>
    <w:p w:rsidR="00000000" w:rsidDel="00000000" w:rsidP="00000000" w:rsidRDefault="00000000" w:rsidRPr="00000000" w14:paraId="00000014">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15">
      <w:pPr>
        <w:tabs>
          <w:tab w:val="center" w:leader="none" w:pos="4513"/>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016">
      <w:pPr>
        <w:tabs>
          <w:tab w:val="center" w:leader="none" w:pos="4513"/>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017">
      <w:pPr>
        <w:tabs>
          <w:tab w:val="center" w:leader="none" w:pos="4513"/>
        </w:tabs>
        <w:spacing w:line="240" w:lineRule="auto"/>
        <w:rPr>
          <w:b w:val="1"/>
          <w:bCs w:val="1"/>
          <w:sz w:val="24"/>
          <w:szCs w:val="24"/>
        </w:rPr>
      </w:pPr>
      <w:r w:rsidDel="00000000" w:rsidR="00000000" w:rsidRPr="00000000">
        <w:rPr>
          <w:rtl w:val="0"/>
        </w:rPr>
      </w:r>
    </w:p>
    <w:p w:rsidR="00000000" w:rsidDel="00000000" w:rsidP="00000000" w:rsidRDefault="00000000" w:rsidRPr="00000000" w14:paraId="00000018">
      <w:pPr>
        <w:tabs>
          <w:tab w:val="center" w:leader="none" w:pos="4513"/>
        </w:tabs>
        <w:spacing w:line="240" w:lineRule="auto"/>
        <w:rPr>
          <w:sz w:val="24"/>
          <w:szCs w:val="24"/>
        </w:rPr>
      </w:pPr>
      <w:r w:rsidDel="00000000" w:rsidR="00000000" w:rsidRPr="00000000">
        <w:rPr>
          <w:b w:val="1"/>
          <w:bCs w:val="1"/>
          <w:sz w:val="24"/>
          <w:szCs w:val="24"/>
          <w:rtl w:val="0"/>
        </w:rPr>
        <w:t xml:space="preserve">Date de soumission</w:t>
      </w:r>
      <w:r w:rsidDel="00000000" w:rsidR="00000000" w:rsidRPr="00000000">
        <w:rPr>
          <w:sz w:val="24"/>
          <w:szCs w:val="24"/>
          <w:rtl w:val="0"/>
        </w:rPr>
        <w:t xml:space="preserve"> : xx/xx/xxxx </w:t>
        <w:tab/>
      </w:r>
    </w:p>
    <w:p w:rsidR="00000000" w:rsidDel="00000000" w:rsidP="00000000" w:rsidRDefault="00000000" w:rsidRPr="00000000" w14:paraId="00000019">
      <w:pPr>
        <w:spacing w:line="240" w:lineRule="auto"/>
        <w:rPr>
          <w:sz w:val="24"/>
          <w:szCs w:val="24"/>
        </w:rPr>
      </w:pPr>
      <w:r w:rsidDel="00000000" w:rsidR="00000000" w:rsidRPr="00000000">
        <w:rPr>
          <w:b w:val="1"/>
          <w:bCs w:val="1"/>
          <w:sz w:val="24"/>
          <w:szCs w:val="24"/>
          <w:rtl w:val="0"/>
        </w:rPr>
        <w:t xml:space="preserve">Date d’acceptation</w:t>
      </w:r>
      <w:r w:rsidDel="00000000" w:rsidR="00000000" w:rsidRPr="00000000">
        <w:rPr>
          <w:sz w:val="24"/>
          <w:szCs w:val="24"/>
          <w:rtl w:val="0"/>
        </w:rPr>
        <w:t xml:space="preserve"> : xx/xx/xxxx </w:t>
      </w:r>
    </w:p>
    <w:p w:rsidR="00000000" w:rsidDel="00000000" w:rsidP="00000000" w:rsidRDefault="00000000" w:rsidRPr="00000000" w14:paraId="0000001A">
      <w:pPr>
        <w:spacing w:line="240" w:lineRule="auto"/>
        <w:rPr>
          <w:sz w:val="24"/>
          <w:szCs w:val="24"/>
        </w:rPr>
      </w:pPr>
      <w:r w:rsidDel="00000000" w:rsidR="00000000" w:rsidRPr="00000000">
        <w:rPr>
          <w:b w:val="1"/>
          <w:bCs w:val="1"/>
          <w:sz w:val="24"/>
          <w:szCs w:val="24"/>
          <w:rtl w:val="0"/>
        </w:rPr>
        <w:t xml:space="preserve">Pour citer cet article</w:t>
      </w:r>
      <w:r w:rsidDel="00000000" w:rsidR="00000000" w:rsidRPr="00000000">
        <w:rPr>
          <w:sz w:val="24"/>
          <w:szCs w:val="24"/>
          <w:rtl w:val="0"/>
        </w:rPr>
        <w:t xml:space="preserve"> : </w:t>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AKRIMI Y. and NOUMI R. (2026) «Examining Gen Z’s Commitment to Ritualized Streaming During Ramadan: An Extension of the Investment Model </w:t>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Revue Internationale Multidisciplinaire d’Économie et de Gestion d’Économie et de Gestion «Volume XX : Numéro YY» pp : - </w:t>
      </w:r>
    </w:p>
    <w:p w:rsidR="00000000" w:rsidDel="00000000" w:rsidP="00000000" w:rsidRDefault="00000000" w:rsidRPr="00000000" w14:paraId="0000001D">
      <w:pPr>
        <w:spacing w:line="240" w:lineRule="auto"/>
        <w:rPr>
          <w:b w:val="1"/>
          <w:bCs w:val="1"/>
          <w:sz w:val="24"/>
          <w:szCs w:val="24"/>
        </w:rPr>
      </w:pPr>
      <w:r w:rsidDel="00000000" w:rsidR="00000000" w:rsidRPr="00000000">
        <w:rPr>
          <w:b w:val="1"/>
          <w:bCs w:val="1"/>
          <w:sz w:val="24"/>
          <w:szCs w:val="24"/>
          <w:rtl w:val="0"/>
        </w:rPr>
        <w:t xml:space="preserve">Digital Object Identifier (DOI) : </w:t>
      </w:r>
    </w:p>
    <w:p w:rsidR="00000000" w:rsidDel="00000000" w:rsidP="00000000" w:rsidRDefault="00000000" w:rsidRPr="00000000" w14:paraId="0000001E">
      <w:pPr>
        <w:widowControl w:val="0"/>
        <w:spacing w:line="240" w:lineRule="auto"/>
        <w:jc w:val="center"/>
        <w:rPr>
          <w:sz w:val="24"/>
          <w:szCs w:val="24"/>
        </w:rPr>
      </w:pPr>
      <w:r w:rsidDel="00000000" w:rsidR="00000000" w:rsidRPr="00000000">
        <w:rPr>
          <w:sz w:val="24"/>
          <w:szCs w:val="24"/>
          <w:rtl w:val="0"/>
        </w:rPr>
        <w:t xml:space="preserve">Author(s) agree that this article remains permanently open access under the terms of the Creative Commons Attribution License 4.0 International License</w:t>
      </w:r>
    </w:p>
    <w:p w:rsidR="00000000" w:rsidDel="00000000" w:rsidP="00000000" w:rsidRDefault="00000000" w:rsidRPr="00000000" w14:paraId="0000001F">
      <w:pPr>
        <w:widowControl w:val="0"/>
        <w:spacing w:line="240" w:lineRule="auto"/>
        <w:jc w:val="center"/>
        <w:rPr>
          <w:sz w:val="24"/>
          <w:szCs w:val="24"/>
        </w:rPr>
      </w:pPr>
      <w:r w:rsidDel="00000000" w:rsidR="00000000" w:rsidRPr="00000000">
        <w:rPr>
          <w:sz w:val="24"/>
          <w:szCs w:val="24"/>
        </w:rPr>
        <w:drawing>
          <wp:inline distB="0" distT="0" distL="0" distR="0">
            <wp:extent cx="790575" cy="304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90575" cy="3048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widowControl w:val="0"/>
        <w:spacing w:line="360" w:lineRule="auto"/>
        <w:jc w:val="center"/>
        <w:rPr>
          <w:sz w:val="24"/>
          <w:szCs w:val="24"/>
        </w:rPr>
      </w:pPr>
      <w:r w:rsidDel="00000000" w:rsidR="00000000" w:rsidRPr="00000000">
        <w:rPr>
          <w:rtl w:val="0"/>
        </w:rPr>
      </w:r>
    </w:p>
    <w:p w:rsidR="00000000" w:rsidDel="00000000" w:rsidP="00000000" w:rsidRDefault="00000000" w:rsidRPr="00000000" w14:paraId="00000021">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2">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3">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4">
      <w:pPr>
        <w:spacing w:line="360" w:lineRule="auto"/>
        <w:rPr>
          <w:b w:val="1"/>
          <w:bCs w:val="1"/>
          <w:sz w:val="24"/>
          <w:szCs w:val="24"/>
        </w:rPr>
      </w:pPr>
      <w:r w:rsidDel="00000000" w:rsidR="00000000" w:rsidRPr="00000000">
        <w:rPr>
          <w:b w:val="1"/>
          <w:bCs w:val="1"/>
          <w:sz w:val="24"/>
          <w:szCs w:val="24"/>
          <w:rtl w:val="0"/>
        </w:rPr>
        <w:t xml:space="preserve">Résumé </w:t>
      </w:r>
    </w:p>
    <w:p w:rsidR="00000000" w:rsidDel="00000000" w:rsidP="00000000" w:rsidRDefault="00000000" w:rsidRPr="00000000" w14:paraId="000000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Cette étude, s'appuyant sur le modèle d'investissement, vise à comprendre l'engagement de la génération Z envers le visionnage ritualisé de contenus sur les plateformes de streaming durant le Ramadan. Initialement appliqué au contexte des relations amoureuses, ce modèle a depuis été étendu à divers autres domaines, tels que les jeux en ligne et les relations influenceurs-abonnés. Il est donc pertinent dans le contexte des médias numériques. Selon ce modèle, l'engagement est déterminé par le niveau de satisfaction, la qualité des alternatives et l'importance de l'investissement. Par conséquent, l'engagement influence l'intention de continuer à consommer ces contenus. Afin de mieux refléter le contexte d'utilisation des plateformes de streaming durant le Ramadan, nous avons ajouté deux concepts au modèle : la cohésion familiale et les préférences de genre du public. Un questionnaire en ligne a été administré à des abonnés à des services de streaming (N = 201). Une modélisation par équations structurelles (SEM) a été réalisée à l'aide du logiciel Amos 26.0 pour tester le modèle de recherche. Les résultats montrent que l'importance de l'investissement et le niveau de satisfaction ont un impact positif sur l'engagement, qui, à son tour, influence positivement l'intention de continuer à consommer ces contenus. De plus, nous avons démontré que la cohésion familiale a un impact négatif sur l'engagement et que les utilisateurs des plateformes de streaming qui préfèrent un contenu adapté aux familles sont moins engagés dans le visionnage ritualisé pendant le Ramadan sur ces plateformes.</w:t>
      </w:r>
    </w:p>
    <w:p w:rsidR="00000000" w:rsidDel="00000000" w:rsidP="00000000" w:rsidRDefault="00000000" w:rsidRPr="00000000" w14:paraId="000000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Mots-clés : </w:t>
      </w:r>
      <w:r w:rsidDel="00000000" w:rsidR="00000000" w:rsidRPr="00000000">
        <w:rPr>
          <w:rFonts w:ascii="Times New Roman" w:cs="Times New Roman" w:eastAsia="Times New Roman" w:hAnsi="Times New Roman"/>
          <w:sz w:val="24"/>
          <w:szCs w:val="24"/>
          <w:rtl w:val="0"/>
        </w:rPr>
        <w:t xml:space="preserve">engagement, plateformes de streaming, modèle d’investissement, GenZ, rituels de média</w:t>
      </w:r>
    </w:p>
    <w:p w:rsidR="00000000" w:rsidDel="00000000" w:rsidP="00000000" w:rsidRDefault="00000000" w:rsidRPr="00000000" w14:paraId="00000027">
      <w:pPr>
        <w:spacing w:line="360" w:lineRule="auto"/>
        <w:rPr>
          <w:sz w:val="24"/>
          <w:szCs w:val="24"/>
        </w:rPr>
      </w:pPr>
      <w:r w:rsidDel="00000000" w:rsidR="00000000" w:rsidRPr="00000000">
        <w:rPr>
          <w:rtl w:val="0"/>
        </w:rPr>
      </w:r>
    </w:p>
    <w:p w:rsidR="00000000" w:rsidDel="00000000" w:rsidP="00000000" w:rsidRDefault="00000000" w:rsidRPr="00000000" w14:paraId="00000028">
      <w:pPr>
        <w:spacing w:line="360" w:lineRule="auto"/>
        <w:rPr>
          <w:b w:val="1"/>
          <w:bCs w:val="1"/>
          <w:sz w:val="24"/>
          <w:szCs w:val="24"/>
        </w:rPr>
      </w:pPr>
      <w:r w:rsidDel="00000000" w:rsidR="00000000" w:rsidRPr="00000000">
        <w:rPr>
          <w:b w:val="1"/>
          <w:bCs w:val="1"/>
          <w:sz w:val="24"/>
          <w:szCs w:val="24"/>
          <w:rtl w:val="0"/>
        </w:rPr>
        <w:t xml:space="preserve">Abstract </w:t>
      </w:r>
    </w:p>
    <w:p w:rsidR="00000000" w:rsidDel="00000000" w:rsidP="00000000" w:rsidRDefault="00000000" w:rsidRPr="00000000" w14:paraId="0000002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applying the investment model, this study aims to understand Gen Z's commitment to ritualized viewing on streaming platforms during the month of Ramadan. The investment model was originally applied to the context of romantic relationships and has since been applied to various other contexts, including online gaming and influencer-follower relationships. Therefore, it is relevant in the context of digital media. According to the investment model, commitment is determined by the level of satisfaction, the quality of alternatives, and the size of the investment. As a result, commitment influences the intention to continue. We added two concepts to the investment model to better reflect the context of streaming platform usage during Ramadan: family cohesion and audience genre preferences. The survey was administered online to respondents who subscribe to streaming services (N = 201). Structural equation modeling (SEM) was conducted using Amos 26.0 software to test the research model. Results show that investment size and satisfaction level have positive impacts on commitment, which in turn positively impact continuance intention. Furthermore, we demonstrated that family cohesion has a negative impact on commitment and that users of streaming platforms who prefer family-friendly content are less committed to ritualized viewing during Ramadan on streaming platforms.</w:t>
      </w:r>
    </w:p>
    <w:p w:rsidR="00000000" w:rsidDel="00000000" w:rsidP="00000000" w:rsidRDefault="00000000" w:rsidRPr="00000000" w14:paraId="0000002A">
      <w:pPr>
        <w:pBdr>
          <w:bottom w:color="000000" w:space="1" w:sz="6" w:val="single"/>
        </w:pBdr>
        <w:spacing w:line="360" w:lineRule="auto"/>
        <w:rPr>
          <w:sz w:val="24"/>
          <w:szCs w:val="24"/>
        </w:rPr>
      </w:pPr>
      <w:r w:rsidDel="00000000" w:rsidR="00000000" w:rsidRPr="00000000">
        <w:rPr>
          <w:rtl w:val="0"/>
        </w:rPr>
      </w:r>
    </w:p>
    <w:p w:rsidR="00000000" w:rsidDel="00000000" w:rsidP="00000000" w:rsidRDefault="00000000" w:rsidRPr="00000000" w14:paraId="0000002B">
      <w:pPr>
        <w:pBdr>
          <w:bottom w:color="000000" w:space="1" w:sz="6" w:val="single"/>
        </w:pBdr>
        <w:spacing w:line="360" w:lineRule="auto"/>
        <w:rPr>
          <w:rFonts w:ascii="Times New Roman" w:cs="Times New Roman" w:eastAsia="Times New Roman" w:hAnsi="Times New Roman"/>
          <w:sz w:val="24"/>
          <w:szCs w:val="24"/>
        </w:rPr>
      </w:pPr>
      <w:r w:rsidDel="00000000" w:rsidR="00000000" w:rsidRPr="00000000">
        <w:rPr>
          <w:b w:val="1"/>
          <w:bCs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commitment, streaming platforms, Investment model, Gen Z, media rituals.</w:t>
      </w:r>
    </w:p>
    <w:p w:rsidR="00000000" w:rsidDel="00000000" w:rsidP="00000000" w:rsidRDefault="00000000" w:rsidRPr="00000000" w14:paraId="0000002C">
      <w:pPr>
        <w:pBdr>
          <w:bottom w:color="000000" w:space="1" w:sz="6" w:val="single"/>
        </w:pBdr>
        <w:spacing w:line="360" w:lineRule="auto"/>
        <w:rPr>
          <w:b w:val="1"/>
          <w:bCs w:val="1"/>
          <w:sz w:val="24"/>
          <w:szCs w:val="24"/>
        </w:rPr>
      </w:pPr>
      <w:r w:rsidDel="00000000" w:rsidR="00000000" w:rsidRPr="00000000">
        <w:rPr>
          <w:rtl w:val="0"/>
        </w:rPr>
      </w:r>
    </w:p>
    <w:p w:rsidR="00000000" w:rsidDel="00000000" w:rsidP="00000000" w:rsidRDefault="00000000" w:rsidRPr="00000000" w14:paraId="0000002D">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E">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2F">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0">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1">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2">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3">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4">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5">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6">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7">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8">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9">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A">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B">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C">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D">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E">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3F">
      <w:pPr>
        <w:spacing w:line="360" w:lineRule="auto"/>
        <w:rPr>
          <w:b w:val="1"/>
          <w:bCs w:val="1"/>
          <w:sz w:val="24"/>
          <w:szCs w:val="24"/>
        </w:rPr>
      </w:pPr>
      <w:r w:rsidDel="00000000" w:rsidR="00000000" w:rsidRPr="00000000">
        <w:rPr>
          <w:rtl w:val="0"/>
        </w:rPr>
      </w:r>
    </w:p>
    <w:p w:rsidR="00000000" w:rsidDel="00000000" w:rsidP="00000000" w:rsidRDefault="00000000" w:rsidRPr="00000000" w14:paraId="00000040">
      <w:pPr>
        <w:spacing w:line="360" w:lineRule="auto"/>
        <w:rPr>
          <w:b w:val="1"/>
          <w:bCs w:val="1"/>
          <w:sz w:val="24"/>
          <w:szCs w:val="24"/>
        </w:rPr>
      </w:pPr>
      <w:r w:rsidDel="00000000" w:rsidR="00000000" w:rsidRPr="00000000">
        <w:rPr>
          <w:b w:val="1"/>
          <w:bCs w:val="1"/>
          <w:sz w:val="24"/>
          <w:szCs w:val="24"/>
          <w:rtl w:val="0"/>
        </w:rPr>
        <w:t xml:space="preserve">Introduction</w:t>
      </w:r>
    </w:p>
    <w:p w:rsidR="00000000" w:rsidDel="00000000" w:rsidP="00000000" w:rsidRDefault="00000000" w:rsidRPr="00000000" w14:paraId="00000041">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Many brands strive to establish a self-brand connection with consumers by creating and promoting rituals that strengthen emotional bonds through targeted marketing strategies (Liu et al., 2022). Prior research defines ritualized behavior as a symbolic and expressive form of action associated with brand attachment, word-of-mouth communication, and purchase intention (Sharma et al., 2017; Amati and Pestana, 2015; Liu et al., 2022). This connection becomes even more salient when consumers engage in hedonic or entertainment activities—such as watching television series, playing video games, or participating in online communities centered around shared interests (Liu et al., 2022).</w:t>
      </w:r>
    </w:p>
    <w:p w:rsidR="00000000" w:rsidDel="00000000" w:rsidP="00000000" w:rsidRDefault="00000000" w:rsidRPr="00000000" w14:paraId="00000042">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Grimes (2004) proposes that behaviors can be considered ritualistic to varying degrees based on three dimensions: performance (active engagement in specific activities), formalization (adherence to a structured schedule), and condensation (the attribution of symbolic meaning to these activities). Similarly, Rook (2004) observes that the boundary between habitual and ritualized behaviors is “fuzzy,” emphasizing that rituals are dynamic and evolve according to their cultural context. This broader conceptualization extends beyond traditional rites of passage to encompass daily or individual activities, highlighting their scripts and audiences (Curasi et al., 2004; Rook, 2004).</w:t>
      </w:r>
    </w:p>
    <w:p w:rsidR="00000000" w:rsidDel="00000000" w:rsidP="00000000" w:rsidRDefault="00000000" w:rsidRPr="00000000" w14:paraId="00000043">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many Muslim-majority countries, the month of Ramadan exemplifies such ritualistic engagement. Beyond fasting and religious obligations such as prayer, almsgiving, and self-reflection, cultural practices like collective television viewing also intensify during this period (Alhgafli et al., 2019). Most Ramadan activities occur within the home environment—fasting, sharing meals, and watching television together. Over recent years, however, media consumption patterns during Ramadan have evolved due to shifts in religious observance, social dynamics, and technological advancement. As individuals adjust their routines around fasting, prayer, and community activities, streaming platforms—offering vast on-demand libraries—have become deeply integrated into Ramadan rituals by providing diverse programming that aligns with viewers’ spiritual and entertainment needs (Khanna et al., 2025).</w:t>
      </w:r>
    </w:p>
    <w:p w:rsidR="00000000" w:rsidDel="00000000" w:rsidP="00000000" w:rsidRDefault="00000000" w:rsidRPr="00000000" w14:paraId="00000044">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proliferation of streaming platforms has reshaped media consumption habits, particularly among younger audiences such as Generation Z (Soren and Chakraborty, 2024; Pilipets, 2019). This transformation transcends mere access to content, influencing broader cultural and social practices, especially during significant periods like Ramadan (Kaur and Ashfaq, 2023). Ritualized viewing, characterized by consistent and patterned engagement with media, has emerged as a defining behavior (Auditya and Hidayat, 2021). It represents more than passive watching; it integrates into everyday routines, social interactions, and even spiritual observances—revealing a deeper connection between media use, personal identity, and cultural values. Moreover, streaming platforms—through personalized recommendations and continuous play features—encourage immersive and ritualized viewing experiences (Pilipets, 2019).</w:t>
      </w:r>
    </w:p>
    <w:p w:rsidR="00000000" w:rsidDel="00000000" w:rsidP="00000000" w:rsidRDefault="00000000" w:rsidRPr="00000000" w14:paraId="00000045">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Notably, Generation Z’s engagement with streaming media is active and participatory rather than passive. They curate personalized experiences that emphasize authenticity, interactivity, and self-expression (Elkatmış, 2024). Consequently, traditional family rituals of collective television viewing during Ramadan are being redefined by younger generations, reflecting a long-term cultural transformation (Matbouly, 2024). As Xie (2022) notes, media have the capacity to reshape traditions and generate new symbolic practices, often revealing intergenerational differences (Steiner and Xu, 2020). During Ramadan, diverse viewing modes coexist—some individuals maintain family-based television rituals, while others engage in personalized, ritualized streaming consumption.</w:t>
      </w:r>
    </w:p>
    <w:p w:rsidR="00000000" w:rsidDel="00000000" w:rsidP="00000000" w:rsidRDefault="00000000" w:rsidRPr="00000000" w14:paraId="00000046">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observation raises a key question: Why do some members of Generation Z shift from family-oriented ritualized TV viewing to individualized ritualized streaming, while others do not?</w:t>
        <w:br w:type="textWrapping"/>
        <w:t xml:space="preserve"> To address this, our study proposes that commitment to ritualized streaming depends on three key factors—user satisfaction, quality of alternatives, and investment size—as conceptualized in the investment model. Although this model has been applied to predict consumer–brand relationship continuance, its use in digital media contexts remains limited (Kim and Baek, 2022; Chiu et al., 2021). Moreover, Liu (2022) notes that brand ritual effectiveness has primarily been examined in relation to food products, suggesting a need to explore its implications for hedonic digital products such as streaming media (Kim-Vick and Cho, 2024).</w:t>
      </w:r>
    </w:p>
    <w:p w:rsidR="00000000" w:rsidDel="00000000" w:rsidP="00000000" w:rsidRDefault="00000000" w:rsidRPr="00000000" w14:paraId="00000047">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Accordingly, this study aims to address existing research gaps by examining Generation Z’s engagement with ritualized viewing on streaming platforms during Ramadan—a culturally significant period that emphasizes family unity and community integration (Rohmadi et al., 2025; Jodén and Strandell, 2021).</w:t>
      </w:r>
    </w:p>
    <w:p w:rsidR="00000000" w:rsidDel="00000000" w:rsidP="00000000" w:rsidRDefault="00000000" w:rsidRPr="00000000" w14:paraId="00000048">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therefore propose the following research questions:</w:t>
        <w:br w:type="textWrapping"/>
        <w:t xml:space="preserve"> RQ1: What factors predict commitment to ritualized streaming consumption among Generation Z viewers during Ramadan?</w:t>
        <w:br w:type="textWrapping"/>
        <w:t xml:space="preserve"> RQ2: How do family cohesion and audience preferences interact with the investment model to explain Generation Z’s commitment to ritualized viewing on streaming platforms during a specific period, such as Ramadan?</w:t>
      </w:r>
    </w:p>
    <w:p w:rsidR="00000000" w:rsidDel="00000000" w:rsidP="00000000" w:rsidRDefault="00000000" w:rsidRPr="00000000" w14:paraId="00000049">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paper proceeds as follows: we first develop a theoretical framework grounded in the investment model and media consumption literature, followed by a presentation of the research model and hypotheses. The methodology section outlines data collection and measurement procedures. Subsequently, the results and discussion sections present and interpret the findings. Finally, we conclude with theoretical and managerial implications, study limitations, and suggestions for future research.</w:t>
      </w:r>
    </w:p>
    <w:p w:rsidR="00000000" w:rsidDel="00000000" w:rsidP="00000000" w:rsidRDefault="00000000" w:rsidRPr="00000000" w14:paraId="0000004A">
      <w:pPr>
        <w:numPr>
          <w:ilvl w:val="0"/>
          <w:numId w:val="1"/>
        </w:numPr>
        <w:spacing w:line="360" w:lineRule="auto"/>
        <w:ind w:left="720" w:hanging="360"/>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Research framework</w:t>
      </w:r>
    </w:p>
    <w:p w:rsidR="00000000" w:rsidDel="00000000" w:rsidP="00000000" w:rsidRDefault="00000000" w:rsidRPr="00000000" w14:paraId="0000004B">
      <w:pPr>
        <w:spacing w:lin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Ritualized viewing on streaming platforms </w:t>
      </w:r>
    </w:p>
    <w:p w:rsidR="00000000" w:rsidDel="00000000" w:rsidP="00000000" w:rsidRDefault="00000000" w:rsidRPr="00000000" w14:paraId="000000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Rituals are symbolic and expressive actions performed at specific times through repeated behaviors characterized by formality and intensity (Rook, 1985; Rappaport, 1999; Sharma et al., 2017). Karl and Fischer (2018) emphasize that engaging in rituals demands time and effort without yielding direct instrumental benefits. Within this framework, ritualistic viewing habits refer to repetitive and structured patterns of media consumption integrated into daily routines. Cui (2019) defines media rituals as cultural orientations that encompass not only communicative processes but also material components—such as technological devices—and social practices that imbue these behaviors with symbolic meaning.</w:t>
      </w:r>
    </w:p>
    <w:p w:rsidR="00000000" w:rsidDel="00000000" w:rsidP="00000000" w:rsidRDefault="00000000" w:rsidRPr="00000000" w14:paraId="0000004D">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consumption rituals, particularly those observed during Ramadan, play a central role in cultural construction and social differentiation by shaping consumer experiences and reinforcing shared values (Pedro-Esteban &amp; Rubio, 2024). Ramadan, the ninth month of the Islamic lunar calendar, is traditionally associated with fasting, prayer, and spiritual reflection. Yet, in recent decades, it has also become deeply embedded within market and media consumption dynamics, altering its cultural and experiential dimensions among Muslim populations (Sandikci &amp; Jafari, 2013). As Buccianti (2016) notes, broadcasters have adapted their schedules to reflect changes in daily rhythms—shorter working hours, family gatherings, and increased community interaction—giving rise to specific Ramadan programming, notably </w:t>
      </w:r>
      <w:r w:rsidDel="00000000" w:rsidR="00000000" w:rsidRPr="00000000">
        <w:rPr>
          <w:rFonts w:ascii="Times New Roman" w:cs="Times New Roman" w:eastAsia="Times New Roman" w:hAnsi="Times New Roman"/>
          <w:i w:val="1"/>
          <w:iCs w:val="1"/>
          <w:sz w:val="24"/>
          <w:szCs w:val="24"/>
          <w:rtl w:val="0"/>
        </w:rPr>
        <w:t xml:space="preserve">Musalsalat</w:t>
      </w:r>
      <w:r w:rsidDel="00000000" w:rsidR="00000000" w:rsidRPr="00000000">
        <w:rPr>
          <w:rFonts w:ascii="Times New Roman" w:cs="Times New Roman" w:eastAsia="Times New Roman" w:hAnsi="Times New Roman"/>
          <w:sz w:val="24"/>
          <w:szCs w:val="24"/>
          <w:rtl w:val="0"/>
        </w:rPr>
        <w:t xml:space="preserve">, TV dramas produced for this occasion (Khalil, 2019).</w:t>
      </w:r>
    </w:p>
    <w:p w:rsidR="00000000" w:rsidDel="00000000" w:rsidP="00000000" w:rsidRDefault="00000000" w:rsidRPr="00000000" w14:paraId="0000004E">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consumption during Ramadan thus represents a collective cultural ritual engaging nearly the entire populations in Muslim-majority societies. Common practices include watching series with family or friends after </w:t>
      </w:r>
      <w:r w:rsidDel="00000000" w:rsidR="00000000" w:rsidRPr="00000000">
        <w:rPr>
          <w:rFonts w:ascii="Times New Roman" w:cs="Times New Roman" w:eastAsia="Times New Roman" w:hAnsi="Times New Roman"/>
          <w:i w:val="1"/>
          <w:iCs w:val="1"/>
          <w:sz w:val="24"/>
          <w:szCs w:val="24"/>
          <w:rtl w:val="0"/>
        </w:rPr>
        <w:t xml:space="preserve">Iftar</w:t>
      </w:r>
      <w:r w:rsidDel="00000000" w:rsidR="00000000" w:rsidRPr="00000000">
        <w:rPr>
          <w:rFonts w:ascii="Times New Roman" w:cs="Times New Roman" w:eastAsia="Times New Roman" w:hAnsi="Times New Roman"/>
          <w:sz w:val="24"/>
          <w:szCs w:val="24"/>
          <w:rtl w:val="0"/>
        </w:rPr>
        <w:t xml:space="preserve"> (the evening meal) or catching up on shows during </w:t>
      </w:r>
      <w:r w:rsidDel="00000000" w:rsidR="00000000" w:rsidRPr="00000000">
        <w:rPr>
          <w:rFonts w:ascii="Times New Roman" w:cs="Times New Roman" w:eastAsia="Times New Roman" w:hAnsi="Times New Roman"/>
          <w:i w:val="1"/>
          <w:iCs w:val="1"/>
          <w:sz w:val="24"/>
          <w:szCs w:val="24"/>
          <w:rtl w:val="0"/>
        </w:rPr>
        <w:t xml:space="preserve">Suhoor</w:t>
      </w:r>
      <w:r w:rsidDel="00000000" w:rsidR="00000000" w:rsidRPr="00000000">
        <w:rPr>
          <w:rFonts w:ascii="Times New Roman" w:cs="Times New Roman" w:eastAsia="Times New Roman" w:hAnsi="Times New Roman"/>
          <w:sz w:val="24"/>
          <w:szCs w:val="24"/>
          <w:rtl w:val="0"/>
        </w:rPr>
        <w:t xml:space="preserve"> (the pre-dawn meal). These viewing habits merge religious observance with entertainment, generating hybrid ritual forms. Matbouly (2024) attributes the persistence of these practices to long-standing cultural attachments to television as a medium of family entertainment. Since the 1960s, television has shaped social values and collective consciousness across the Arab world, preparing audiences for contemporary streaming habits during Ramadan (Daddouh &amp; Aomari, 2020).</w:t>
      </w:r>
    </w:p>
    <w:p w:rsidR="00000000" w:rsidDel="00000000" w:rsidP="00000000" w:rsidRDefault="00000000" w:rsidRPr="00000000" w14:paraId="0000004F">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advent of over-the-top (OTT) streaming services has fundamentally transformed media consumption patterns (Chang &amp; Chiu, 2023). With the expansion of online platforms, audiences increasingly subscribe to on-demand entertainment services (Nagaraj et al., 2021). Unlike linear television, streaming offers a personalized and interactive viewing experience (Lüders, 2022). The proliferation of technological devices and connectivity has accelerated this shift. A growing body of research has examined emerging behaviors such as binge-watching and ritualized viewing on social networks (Lüders, 2022; Bartholomew &amp; Mason, 2020). Mason and Bartholomew (2020) argue that rituals within digital environments fulfill social functions by reinforcing group identity and interpersonal bonds, while also structuring the consumer journey. Digital platforms and electronic devices have particularly transformed the media practices of Generation Z (Daddouh &amp; Aomari, 2020). Having grown up in fully digital ecosystems, this generation demonstrates fluency and comfort with technology (Sardanelli et al., 2025). Unlike older cohorts, who transitioned gradually to digital services, Generation Z has never experienced a pre-Internet world (Swartz et al., 2017). As Sutrisno (2023) observes, contemporary media consumption is now a dynamic process of acquisition, engagement, and response, contrasting with the passive and transactional nature of traditional television. OTT platforms capitalize on these shifts through micro-targeting and personalized content delivery (Chalaby, 2024), emphasizing autonomy in selection and access. This evolution has redefined the media landscape, long characterized by the inertia of linear broadcasting (Menon, 2022).</w:t>
      </w:r>
    </w:p>
    <w:p w:rsidR="00000000" w:rsidDel="00000000" w:rsidP="00000000" w:rsidRDefault="00000000" w:rsidRPr="00000000" w14:paraId="00000050">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Flanagan (2018) interprets binge-watching as a subversive cultural and technological practice that differentiates its participants from traditional audiences. Beyond facilitating ritualized solo viewing, streaming’s ascendancy reshapes collective cultural experiences and redefines community engagement with media (Wu et al., 2024). Streaming platforms thus operate not merely as entertainment providers but as cultural agents influencing language, fashion, social aspirations, and everyday attitudes (Lobato, 2019). Tunisia exemplifies these transformations. The country has recently witnessed a sharp rise in streaming platform adoption, moving away from free content on YouTube. In 2022, two national platforms were launched primarily for Ramadan programming, alongside another that operates year-round to showcase local productions. This shift illustrates how streaming services have become embedded in the cultural and economic dynamics of media consumption, particularly during periods of collective ritual engagement.</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b w:val="1"/>
          <w:bCs w:val="1"/>
          <w:sz w:val="24"/>
          <w:szCs w:val="24"/>
          <w:rtl w:val="0"/>
        </w:rPr>
        <w:tab/>
        <w:t xml:space="preserve">1.2 </w:t>
      </w:r>
      <w:r w:rsidDel="00000000" w:rsidR="00000000" w:rsidRPr="00000000">
        <w:rPr>
          <w:rFonts w:ascii="Times New Roman" w:cs="Times New Roman" w:eastAsia="Times New Roman" w:hAnsi="Times New Roman"/>
          <w:b w:val="1"/>
          <w:bCs w:val="1"/>
          <w:sz w:val="24"/>
          <w:szCs w:val="24"/>
          <w:rtl w:val="0"/>
        </w:rPr>
        <w:t xml:space="preserve">Investment Model </w:t>
      </w:r>
    </w:p>
    <w:p w:rsidR="00000000" w:rsidDel="00000000" w:rsidP="00000000" w:rsidRDefault="00000000" w:rsidRPr="00000000" w14:paraId="000000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Commitment is the long-term personal perspective of a relationship. It describes the psychological attachment and willingness to continue the relationship (Rusbult, 1983). Rusbult and Farrell (1986) consider that commitment refers to the likelihood that an individual will remain involved in a relationship and feel psychologically attached regardless of whether it is satisfying or not. Stein (2025) explains that commitment and involvement are two states of mind characterized by absorption, dedication, and vigor. Nevertheless, dedication’s target differs for commitment and involvement, with the former directed towards the action itself and the latter towards the group.  Dahlgren and Hill (2022) emphasize that media commitment is more than simply user interaction or brand loyalty; it is a dynamic and relational experience that incorporates pleasure, curiosity, and even an identity process. Media commitment stems from identity and affect, yet retains utilitarian aspects. The construction of media commitment is further related to the user's material circumstances (time, energy, preference) as well as media attributes (accessibility, infrastructure, originality).</w:t>
      </w:r>
    </w:p>
    <w:p w:rsidR="00000000" w:rsidDel="00000000" w:rsidP="00000000" w:rsidRDefault="00000000" w:rsidRPr="00000000" w14:paraId="0000005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investment model, three independent factors affect commitment to maintaining a relationship with someone or something. Satisfaction is the attractiveness of the relationship (Chiu et al, 2020; Agnew et al, 2008). For example, job satisfaction is the degree to which an individual assesses their job positively. In that case, the benefits exceed the costs. The level of satisfaction increases when the relationship or social role meets the individual's needs, particularly the need for support, security, intimacy, and belonging (Rusbult et al, 2011). Thus, satisfaction increases commitment. However, dissatisfaction alone does not lead to disengagement, as commitment is a complex concept. For instance, the alternatives' quality and the investment's size also shaped commitment. The investment model suggests that commitment will heighten when the alternatives for the existing relationship are poor. Alternatives to the relationship may include other relationships or no relationships at all (Sherer et al. 2022).  In addition, the more the individual invests in the relationship by dedicating internal resources (time, money, energy, shared memories, emotional bond), the greater the commitment. Branch et al (2013) suggest that the stability of the relationship depends on the set of tangible and intangible resources that the individual risks losing or diminishing if the relationship ends.</w:t>
      </w:r>
    </w:p>
    <w:p w:rsidR="00000000" w:rsidDel="00000000" w:rsidP="00000000" w:rsidRDefault="00000000" w:rsidRPr="00000000" w14:paraId="00000054">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To sum up, high satisfaction, bad alternatives, and significant investment lead to a greater commitment (Rusbult et al, 1986; Branch et al, 2013). In the same vein, Agnew et al. (2008) explain that commitment to a relationship is high when satisfaction with the relationship is high, perceived satisfaction with alternatives is low, investment in the relationship is high, and subjective norms support the relationship (Chiu et al, 2025). The investment model has been proposed to explain commitment and satisfaction in interpersonal relationships. Afterward, researchers used the investment model to analyze job commitment, commitment to fictional characters or television programs, brand loyalty, and online gaming (Agnew et al, 2008; Branch et al, 2013; Uysal, 2016).  </w:t>
      </w:r>
      <w:r w:rsidDel="00000000" w:rsidR="00000000" w:rsidRPr="00000000">
        <w:rPr>
          <w:rFonts w:ascii="Times New Roman" w:cs="Times New Roman" w:eastAsia="Times New Roman" w:hAnsi="Times New Roman"/>
          <w:sz w:val="24"/>
          <w:szCs w:val="24"/>
          <w:highlight w:val="white"/>
          <w:rtl w:val="0"/>
        </w:rPr>
        <w:t xml:space="preserve">According to Soren and Chakraborty (2024), satisfaction with streaming platforms is linked to viewers' expectations and their experience. Furthermore, the intensifying competition among platforms underscores the critical importance of subscriber satisfaction and retention. According to Branch et al. (2013), a significant proportion of variance was explained by the investment model in both relational contexts (such as romantic relationships) as well as non-relational contexts, including commitment to jobs, hobbies, or even fictional characters and television shows. Fulfillment resulting from the consumption of a favorite media influences the commitment to continue using it. The quality of the alternatives, such as watching other media or spending time with family or friends, has a detrimental effect on commitment. Finally, according to the investment model, investments can be material (in terms of money) or immaterial (in terms of time and self-expression) and should be positively correlated with commitment to the preferred media</w:t>
      </w:r>
      <w:r w:rsidDel="00000000" w:rsidR="00000000" w:rsidRPr="00000000">
        <w:rPr>
          <w:rFonts w:ascii="Arial" w:cs="Arial" w:eastAsia="Arial" w:hAnsi="Arial"/>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Therefore, cultivating viewer commitment is essential to maintaining customers. A higher level of consumer commitment is associated with increased platform performance. However, commitment to streaming services is not solely determined by user satisfaction, but also by factors such as content and pricing (Yoon and Kim, 2023). These lead to the following hypotheses:</w:t>
      </w:r>
      <w:r w:rsidDel="00000000" w:rsidR="00000000" w:rsidRPr="00000000">
        <w:rPr>
          <w:rtl w:val="0"/>
        </w:rPr>
      </w:r>
    </w:p>
    <w:p w:rsidR="00000000" w:rsidDel="00000000" w:rsidP="00000000" w:rsidRDefault="00000000" w:rsidRPr="00000000" w14:paraId="00000055">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H1: </w:t>
      </w:r>
      <w:r w:rsidDel="00000000" w:rsidR="00000000" w:rsidRPr="00000000">
        <w:rPr>
          <w:rFonts w:ascii="Times New Roman" w:cs="Times New Roman" w:eastAsia="Times New Roman" w:hAnsi="Times New Roman"/>
          <w:sz w:val="24"/>
          <w:szCs w:val="24"/>
          <w:rtl w:val="0"/>
        </w:rPr>
        <w:t xml:space="preserve">Gen Z’s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commitment to a ritualised viewing on streaming services during Ramadan is positively associated with the satisfaction level.</w:t>
      </w:r>
    </w:p>
    <w:p w:rsidR="00000000" w:rsidDel="00000000" w:rsidP="00000000" w:rsidRDefault="00000000" w:rsidRPr="00000000" w14:paraId="00000056">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H2:</w:t>
      </w:r>
      <w:r w:rsidDel="00000000" w:rsidR="00000000" w:rsidRPr="00000000">
        <w:rPr>
          <w:rFonts w:ascii="Times New Roman" w:cs="Times New Roman" w:eastAsia="Times New Roman" w:hAnsi="Times New Roman"/>
          <w:sz w:val="24"/>
          <w:szCs w:val="24"/>
          <w:rtl w:val="0"/>
        </w:rPr>
        <w:t xml:space="preserve"> Gen Z’s commitment to a ritualised viewing on streaming services during Ramadan is negatively associated with the quality of alternatives.</w:t>
      </w:r>
    </w:p>
    <w:p w:rsidR="00000000" w:rsidDel="00000000" w:rsidP="00000000" w:rsidRDefault="00000000" w:rsidRPr="00000000" w14:paraId="00000057">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H3:</w:t>
      </w:r>
      <w:r w:rsidDel="00000000" w:rsidR="00000000" w:rsidRPr="00000000">
        <w:rPr>
          <w:rFonts w:ascii="Times New Roman" w:cs="Times New Roman" w:eastAsia="Times New Roman" w:hAnsi="Times New Roman"/>
          <w:sz w:val="24"/>
          <w:szCs w:val="24"/>
          <w:rtl w:val="0"/>
        </w:rPr>
        <w:t xml:space="preserve"> Gen Z’s commitment to a ritualised viewing on streaming services during Ramadan is positively associated with the investment size.</w:t>
      </w:r>
    </w:p>
    <w:p w:rsidR="00000000" w:rsidDel="00000000" w:rsidP="00000000" w:rsidRDefault="00000000" w:rsidRPr="00000000" w14:paraId="00000058">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Depending on the investment model, commitment is influenced by the level of satisfaction, quality of alternatives, and size of the investment. Furthermore, several studies have demonstrated that commitment to a brand or product creates a strong bond conducive to loyalty and purchase intent (Giovanis, 2016; Tseng and Lee, 2022). In addition, commitment mediates the effects of satisfaction, quality of alternatives, and investment size on behavior and its maintenance (Rusbult et al., 2011). Additionally, Chiu et al. (2025) demonstrated that satisfaction influences commitment and commitment impacts retention. Moreover, satisfaction positively impacts retention. Thus, commitment partially mediates the relationship between satisfaction and retention. Thus, we propose these hypotheses.</w:t>
      </w:r>
    </w:p>
    <w:p w:rsidR="00000000" w:rsidDel="00000000" w:rsidP="00000000" w:rsidRDefault="00000000" w:rsidRPr="00000000" w14:paraId="00000059">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H4a: </w:t>
      </w:r>
      <w:r w:rsidDel="00000000" w:rsidR="00000000" w:rsidRPr="00000000">
        <w:rPr>
          <w:rFonts w:ascii="Times New Roman" w:cs="Times New Roman" w:eastAsia="Times New Roman" w:hAnsi="Times New Roman"/>
          <w:sz w:val="24"/>
          <w:szCs w:val="24"/>
          <w:rtl w:val="0"/>
        </w:rPr>
        <w:t xml:space="preserve">Gen Z’s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commitment to a ritualised viewing on streaming services during Ramadan mediates the relationship between satisfaction and continuance.</w:t>
      </w:r>
    </w:p>
    <w:p w:rsidR="00000000" w:rsidDel="00000000" w:rsidP="00000000" w:rsidRDefault="00000000" w:rsidRPr="00000000" w14:paraId="0000005A">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H4b:</w:t>
      </w:r>
      <w:r w:rsidDel="00000000" w:rsidR="00000000" w:rsidRPr="00000000">
        <w:rPr>
          <w:rFonts w:ascii="Times New Roman" w:cs="Times New Roman" w:eastAsia="Times New Roman" w:hAnsi="Times New Roman"/>
          <w:sz w:val="24"/>
          <w:szCs w:val="24"/>
          <w:rtl w:val="0"/>
        </w:rPr>
        <w:t xml:space="preserve"> Gen Z’s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commitment to a ritualised viewing on streaming services during Ramadan mediates the relationship between quality of alternatives and continuance.</w:t>
      </w:r>
    </w:p>
    <w:p w:rsidR="00000000" w:rsidDel="00000000" w:rsidP="00000000" w:rsidRDefault="00000000" w:rsidRPr="00000000" w14:paraId="0000005B">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H4c: </w:t>
      </w:r>
      <w:r w:rsidDel="00000000" w:rsidR="00000000" w:rsidRPr="00000000">
        <w:rPr>
          <w:rFonts w:ascii="Times New Roman" w:cs="Times New Roman" w:eastAsia="Times New Roman" w:hAnsi="Times New Roman"/>
          <w:sz w:val="24"/>
          <w:szCs w:val="24"/>
          <w:rtl w:val="0"/>
        </w:rPr>
        <w:t xml:space="preserve">Gen Z’s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commitment to a ritualised viewing on streaming services during Ramadan mediates the relationship between investment size and continuance.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b w:val="1"/>
          <w:bCs w:val="1"/>
          <w:sz w:val="24"/>
          <w:szCs w:val="24"/>
          <w:rtl w:val="0"/>
        </w:rPr>
        <w:tab/>
        <w:t xml:space="preserve">1.3 </w:t>
      </w:r>
      <w:r w:rsidDel="00000000" w:rsidR="00000000" w:rsidRPr="00000000">
        <w:rPr>
          <w:rFonts w:ascii="Times New Roman" w:cs="Times New Roman" w:eastAsia="Times New Roman" w:hAnsi="Times New Roman"/>
          <w:b w:val="1"/>
          <w:bCs w:val="1"/>
          <w:sz w:val="24"/>
          <w:szCs w:val="24"/>
          <w:rtl w:val="0"/>
        </w:rPr>
        <w:t xml:space="preserve">Family rituals and Family cohesion </w:t>
      </w:r>
    </w:p>
    <w:p w:rsidR="00000000" w:rsidDel="00000000" w:rsidP="00000000" w:rsidRDefault="00000000" w:rsidRPr="00000000" w14:paraId="0000005D">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Family rituals, while requiring investment of resources, play a crucial role in strengthening group cohesion, transmitting values, and reinforcing a sense of belonging across generations. According to Boyer (2006), rituals foster coordination and demonstrate group belonging. These ritualized entertainments require resources, which, according to Stein et al. (2021), implies that group members associate them with social norms and culture preservation. Families understand that their ritualized activities reflect and transmit their values. For instance, family leisure activities, as Izenstark and Ebata (2022) explain, are a time to transmit values and underpin family interaction. </w:t>
      </w:r>
      <w:r w:rsidDel="00000000" w:rsidR="00000000" w:rsidRPr="00000000">
        <w:rPr>
          <w:rFonts w:ascii="Times New Roman" w:cs="Times New Roman" w:eastAsia="Times New Roman" w:hAnsi="Times New Roman"/>
          <w:sz w:val="24"/>
          <w:szCs w:val="24"/>
          <w:highlight w:val="white"/>
          <w:rtl w:val="0"/>
        </w:rPr>
        <w:t xml:space="preserve">Thus, family members' involvement in shared activities and respect for assigned roles contribute to the construction of the family's identity and the reinforcement of family cohesion. Furthermore, family cohesion is reflected in the strength of the emotional bond between its members. Performing family rituals such as family dinners, entertainment like watching TV together, and celebrations enables family members to grow closer together, interact, communicate, and adapt to external challenges (Wang and Zhang, 2024). As opposed to healthy family dynamics based on shared activities and communication, Kim et al. (2024) have found that smartphone addiction and phubbing are associated with dysfunctional family dynamics characterized by a lack of emotional support and a lack of discipline. Moreover, Fiese (2006) and Ratcliffe et al. (2019) explain that the nostalgia felt when performing or recalling family rituals reflects the power of this transformative experience to generate connections between generations and mark the family history. Accordingly, we propose that: </w:t>
      </w:r>
    </w:p>
    <w:p w:rsidR="00000000" w:rsidDel="00000000" w:rsidP="00000000" w:rsidRDefault="00000000" w:rsidRPr="00000000" w14:paraId="0000005E">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H5:</w:t>
      </w:r>
      <w:r w:rsidDel="00000000" w:rsidR="00000000" w:rsidRPr="00000000">
        <w:rPr>
          <w:rFonts w:ascii="Times New Roman" w:cs="Times New Roman" w:eastAsia="Times New Roman" w:hAnsi="Times New Roman"/>
          <w:sz w:val="24"/>
          <w:szCs w:val="24"/>
          <w:highlight w:val="white"/>
          <w:rtl w:val="0"/>
        </w:rPr>
        <w:t xml:space="preserve"> Family cohesion has a negative impact on Gen Z’s commitment to a ritualized viewing on streaming platforms during Ramadan.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sz w:val="24"/>
          <w:szCs w:val="24"/>
        </w:rPr>
      </w:pPr>
      <w:r w:rsidDel="00000000" w:rsidR="00000000" w:rsidRPr="00000000">
        <w:rPr>
          <w:b w:val="1"/>
          <w:bCs w:val="1"/>
          <w:sz w:val="24"/>
          <w:szCs w:val="24"/>
          <w:rtl w:val="0"/>
        </w:rPr>
        <w:tab/>
        <w:t xml:space="preserve">1.4 </w:t>
      </w:r>
      <w:r w:rsidDel="00000000" w:rsidR="00000000" w:rsidRPr="00000000">
        <w:rPr>
          <w:rFonts w:ascii="Times New Roman" w:cs="Times New Roman" w:eastAsia="Times New Roman" w:hAnsi="Times New Roman"/>
          <w:b w:val="1"/>
          <w:bCs w:val="1"/>
          <w:sz w:val="24"/>
          <w:szCs w:val="24"/>
          <w:rtl w:val="0"/>
        </w:rPr>
        <w:t xml:space="preserve">Audience genre preference </w:t>
      </w:r>
    </w:p>
    <w:p w:rsidR="00000000" w:rsidDel="00000000" w:rsidP="00000000" w:rsidRDefault="00000000" w:rsidRPr="00000000" w14:paraId="00000060">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Unlike the scheduled programming of linear television, streaming platforms organize content into genre-specific libraries. Cha and Chan-Olmsted (2024) define genre as a systematic classification of television programs based on their shared attributes. Daw et al (2025) posit that digital media strengthens viewers' agency in selecting and maintaining genre preferences across platforms. Therefore, the stability of audience preferences for media genres shapes their viewing behavior and facilitates the prediction of media consumption patterns (Cha and Chan-Olmsted, 2024). Additionally, intense engagement with a genre (comedy, drama) can be rooted in family rituals and thus build the individual or collective history of a group. Engagement intensity is expanded over time and can be passed on from generation to generation and thus become part of the identity (Dahlgren and Hill, 2022). Kim (2022) explains that consumers' choices in brands contribute to the creation of both individual and collective identities. Local brands, therefore, often rely on heritage and traditional roots to attract consumers. This is particularly evident in media consumption during Ramadan, where there's a clear preference for local or regional series and programs that promote content preserving cultural identity—the shared values, beliefs, and customs of a community—or highlighting Islamic values and precepts, such as piety and family unity (Azizah et al, 2025; Ishaque, 2025). Faced with intense scrutiny from social media, which often criticize programs disrespecting the spirit of Ramadan, conventional TV channels tend to prioritize "family" content. In contrast, streaming platforms have more freedom in building up their libraries (Almahadin, 2011). Therefore, we propose: </w:t>
      </w:r>
    </w:p>
    <w:p w:rsidR="00000000" w:rsidDel="00000000" w:rsidP="00000000" w:rsidRDefault="00000000" w:rsidRPr="00000000" w14:paraId="00000061">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H6: </w:t>
      </w:r>
      <w:r w:rsidDel="00000000" w:rsidR="00000000" w:rsidRPr="00000000">
        <w:rPr>
          <w:rFonts w:ascii="Times New Roman" w:cs="Times New Roman" w:eastAsia="Times New Roman" w:hAnsi="Times New Roman"/>
          <w:sz w:val="24"/>
          <w:szCs w:val="24"/>
          <w:rtl w:val="0"/>
        </w:rPr>
        <w:t xml:space="preserve">Participants who prefer to watch non-family-friendly content during Ramadan will have a higher level of commitment to a ritualized viewing on streaming platforms compared to those who prefer family-friendly content.</w:t>
      </w:r>
    </w:p>
    <w:p w:rsidR="00000000" w:rsidDel="00000000" w:rsidP="00000000" w:rsidRDefault="00000000" w:rsidRPr="00000000" w14:paraId="00000062">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sz w:val="24"/>
          <w:szCs w:val="24"/>
          <w:rtl w:val="0"/>
        </w:rPr>
        <w:t xml:space="preserve">1.5 The relationship between commitment to ritualized viewing on streaming platforms and usage continuance</w:t>
      </w:r>
    </w:p>
    <w:p w:rsidR="00000000" w:rsidDel="00000000" w:rsidP="00000000" w:rsidRDefault="00000000" w:rsidRPr="00000000" w14:paraId="00000063">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Commitment to media is a reflection of increased involvement and results in meaningful benefits for the user (entertainment, relaxation, companionship). Therefore, a high level of media commitment leads to a high level of usage (Workman et al, 2023). As Dahlgren and Hill (2020) explain, media commitment takes the form of a social practice that utilizes media devices and mobilizes skills. Thus, commitment to streaming platforms is demonstrated by continued subscription and use of the platforms. Furthermore,  Zhang et al. (2025) state that brand commitment results from attachment and leads to the desire to maintain the relationship through purchasing. Similarly, commitment to an influencer leads to the endorsement of their products and advocacy of their activities (Kim and Baek, 2022). Similarly, in accordance with the investment model, Uysal (2016) found that commitment to multiplayer online games is positively associated with loyalty to the gaming platform and negatively associated with exit from it. Therefore, </w:t>
      </w:r>
    </w:p>
    <w:p w:rsidR="00000000" w:rsidDel="00000000" w:rsidP="00000000" w:rsidRDefault="00000000" w:rsidRPr="00000000" w14:paraId="00000064">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H7:</w:t>
      </w:r>
      <w:r w:rsidDel="00000000" w:rsidR="00000000" w:rsidRPr="00000000">
        <w:rPr>
          <w:rFonts w:ascii="Times New Roman" w:cs="Times New Roman" w:eastAsia="Times New Roman" w:hAnsi="Times New Roman"/>
          <w:sz w:val="24"/>
          <w:szCs w:val="24"/>
          <w:rtl w:val="0"/>
        </w:rPr>
        <w:t xml:space="preserve"> Gen Z’s commitment to a ritualized viewing on streaming services during Ramadan is positively related to continuance intention. </w:t>
      </w:r>
    </w:p>
    <w:p w:rsidR="00000000" w:rsidDel="00000000" w:rsidP="00000000" w:rsidRDefault="00000000" w:rsidRPr="00000000" w14:paraId="00000065">
      <w:pPr>
        <w:spacing w:after="240" w:before="24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4050" cy="3806305"/>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4050" cy="380630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08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Source: Authors </w:t>
      </w:r>
    </w:p>
    <w:p w:rsidR="00000000" w:rsidDel="00000000" w:rsidP="00000000" w:rsidRDefault="00000000" w:rsidRPr="00000000" w14:paraId="00000069">
      <w:pPr>
        <w:spacing w:line="360" w:lineRule="auto"/>
        <w:jc w:val="left"/>
        <w:rPr>
          <w:rFonts w:ascii="Times New Roman" w:cs="Times New Roman" w:eastAsia="Times New Roman" w:hAnsi="Times New Roman"/>
          <w:b w:val="1"/>
          <w:bCs w:val="1"/>
          <w:sz w:val="24"/>
          <w:szCs w:val="24"/>
        </w:rPr>
      </w:pPr>
      <w:r w:rsidDel="00000000" w:rsidR="00000000" w:rsidRPr="00000000">
        <w:rPr>
          <w:b w:val="1"/>
          <w:bCs w:val="1"/>
          <w:sz w:val="24"/>
          <w:szCs w:val="24"/>
          <w:rtl w:val="0"/>
        </w:rPr>
        <w:t xml:space="preserve">2. </w:t>
      </w:r>
      <w:r w:rsidDel="00000000" w:rsidR="00000000" w:rsidRPr="00000000">
        <w:rPr>
          <w:rFonts w:ascii="Times New Roman" w:cs="Times New Roman" w:eastAsia="Times New Roman" w:hAnsi="Times New Roman"/>
          <w:b w:val="1"/>
          <w:bCs w:val="1"/>
          <w:sz w:val="24"/>
          <w:szCs w:val="24"/>
          <w:rtl w:val="0"/>
        </w:rPr>
        <w:t xml:space="preserve">Method </w:t>
      </w:r>
    </w:p>
    <w:p w:rsidR="00000000" w:rsidDel="00000000" w:rsidP="00000000" w:rsidRDefault="00000000" w:rsidRPr="00000000" w14:paraId="0000006A">
      <w:pPr>
        <w:spacing w:line="360" w:lineRule="auto"/>
        <w:ind w:firstLine="72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Sample</w:t>
      </w:r>
    </w:p>
    <w:p w:rsidR="00000000" w:rsidDel="00000000" w:rsidP="00000000" w:rsidRDefault="00000000" w:rsidRPr="00000000" w14:paraId="0000006B">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online questionnaire was conducted with Gen Z members who subscribe to streaming platforms operating in Tunisia (Rakcha, Artify, Nessma Play, Shofha, and Elhiwar Ettounsi platform). The survey was conducted in April, May, and June 2025. The final number of usable questionnaires was 201, with 43.3% male and 56.7% female. Participants are undergraduate students at Tunisian universities. Gen Z is often referred to as "digital natives," since they were born between 1997 and 2012 and have grown up with digital media as an integral part of their daily lives. Unlike previous generations, Gen Z has had access to the internet, smartphones, computers, social media, and video games from an early age. As a result, they have never been exposed to a world without these technologies and have assimilated them seamlessly into their daily lives (Reich and Barak, 2018).</w:t>
      </w:r>
    </w:p>
    <w:p w:rsidR="00000000" w:rsidDel="00000000" w:rsidP="00000000" w:rsidRDefault="00000000" w:rsidRPr="00000000" w14:paraId="0000006C">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2.2 Measures </w:t>
      </w:r>
    </w:p>
    <w:p w:rsidR="00000000" w:rsidDel="00000000" w:rsidP="00000000" w:rsidRDefault="00000000" w:rsidRPr="00000000" w14:paraId="0000006D">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All the constructs used in this study were measured using a five-point Likert-type scale anchored by “Strongly Disagree” to “Strongly Agree,” and the items were moderately modified to fit the context of ritualized viewing during Ramadan. To measure commitment to ritualized viewing, items were adapted from Fei et al (2021). We asked participants to rate the degree to which their streaming services use during Ramadan was ritualistic by answering the following question: “To what extent do you consider this activity to be a ritual? A ritual is an activity that symbolizes values and tends to be done multiple times in the same specific way each time" (1 = not at all, 5 = very much; adapted from Garcia-Rada et al.,( 2019). “Is the activity done in the same specific way each time?”(2) “Is the activity meaningful to you?”; and (3) “Does the activity symbolize your values?” (1 = not at all, 5 = very much).  We also asked participants to indicate their viewing habits and their favorite programs during Ramadan. Satisfaction with streaming services and continuance intention scales are adapted from Sae-tae and Wang (2024). The quality of alternatives, the investment size, and the continuance intention were adapted from Kim and Baek (2022). Additionally, as part of our study, participants were asked to describe the activities they and their family members participated in during Ramadan, as well as the roles of each member.</w:t>
      </w:r>
      <w:r w:rsidDel="00000000" w:rsidR="00000000" w:rsidRPr="00000000">
        <w:rPr>
          <w:rtl w:val="0"/>
        </w:rPr>
      </w:r>
    </w:p>
    <w:p w:rsidR="00000000" w:rsidDel="00000000" w:rsidP="00000000" w:rsidRDefault="00000000" w:rsidRPr="00000000" w14:paraId="0000006E">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Additionally, the works of  Tsoutsi &amp; Dikeos (2024) and Fiese (2006) were referenced to measure the construct of family cohesion. Finally, genre preference was operationalized with items proposed by Redfern (2012). </w:t>
      </w:r>
      <w:r w:rsidDel="00000000" w:rsidR="00000000" w:rsidRPr="00000000">
        <w:rPr>
          <w:rtl w:val="0"/>
        </w:rPr>
      </w:r>
    </w:p>
    <w:p w:rsidR="00000000" w:rsidDel="00000000" w:rsidP="00000000" w:rsidRDefault="00000000" w:rsidRPr="00000000" w14:paraId="0000006F">
      <w:pPr>
        <w:spacing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Data analysis</w:t>
      </w:r>
    </w:p>
    <w:p w:rsidR="00000000" w:rsidDel="00000000" w:rsidP="00000000" w:rsidRDefault="00000000" w:rsidRPr="00000000" w14:paraId="00000071">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3.1 Exploratory factor analysis</w:t>
      </w:r>
    </w:p>
    <w:p w:rsidR="00000000" w:rsidDel="00000000" w:rsidP="00000000" w:rsidRDefault="00000000" w:rsidRPr="00000000" w14:paraId="00000072">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To examine the scales' dimensionality, an exploratory factor analysis (EFA) was conducted using principal axis factoring with Promax rotation, in line with established recommendations for operationalizing constructs (Hair et al., 2019). The Kaiser-Meyer-Olkin (KMO) measure of sampling adequacy was 0.771, which is above the threshold of 0.60. Furthermore, Bartlett’s test of sphericity is significant (χ² =2585.281, df =153, p &lt; .001), indicating the data’s fitting to factor analysis (Kaiser, 1974). All items have a loading greater than 0.5 with no cross-loading (Tabachnick &amp; Fidell, 2013). Six distinct factors emerged, accounting for 83.99% of the total variance. Each factor was interpretable and aligned with the theoretical constructs proposed in the conceptual model. Harman's one-factor test was used to evaluate common method bias (CMV). According to the results (Table 1), no single factor could explain more than 50% of the variance (Zhao et al, 2018).</w:t>
      </w:r>
      <w:r w:rsidDel="00000000" w:rsidR="00000000" w:rsidRPr="00000000">
        <w:rPr>
          <w:rtl w:val="0"/>
        </w:rPr>
      </w:r>
    </w:p>
    <w:p w:rsidR="00000000" w:rsidDel="00000000" w:rsidP="00000000" w:rsidRDefault="00000000" w:rsidRPr="00000000" w14:paraId="00000073">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Table 1: Pattern Matrix Components: (Source: Authors)</w:t>
      </w:r>
    </w:p>
    <w:p w:rsidR="00000000" w:rsidDel="00000000" w:rsidP="00000000" w:rsidRDefault="00000000" w:rsidRPr="00000000" w14:paraId="00000074">
      <w:pPr>
        <w:pStyle w:val="Heading3"/>
        <w:keepNext w:val="0"/>
        <w:keepLines w:val="0"/>
        <w:spacing w:line="360" w:lineRule="auto"/>
        <w:rPr>
          <w:rFonts w:ascii="Times New Roman" w:cs="Times New Roman" w:eastAsia="Times New Roman" w:hAnsi="Times New Roman"/>
          <w:sz w:val="20"/>
          <w:szCs w:val="20"/>
        </w:rPr>
      </w:pPr>
      <w:bookmarkStart w:colFirst="0" w:colLast="0" w:name="_ada1z97f1yzs" w:id="0"/>
      <w:bookmarkEnd w:id="0"/>
      <w:r w:rsidDel="00000000" w:rsidR="00000000" w:rsidRPr="00000000">
        <w:rPr>
          <w:rFonts w:ascii="Times New Roman" w:cs="Times New Roman" w:eastAsia="Times New Roman" w:hAnsi="Times New Roman"/>
          <w:b w:val="0"/>
          <w:bCs w:val="0"/>
          <w:sz w:val="20"/>
          <w:szCs w:val="20"/>
          <w:rtl w:val="0"/>
        </w:rPr>
        <w:t xml:space="preserve">Extraction method: Principal component analysis;  Rotation method: Promax with Kaiser normalization.    </w:t>
      </w:r>
      <w:r w:rsidDel="00000000" w:rsidR="00000000" w:rsidRPr="00000000">
        <w:rPr>
          <w:rFonts w:ascii="Times New Roman" w:cs="Times New Roman" w:eastAsia="Times New Roman" w:hAnsi="Times New Roman"/>
          <w:sz w:val="20"/>
          <w:szCs w:val="20"/>
          <w:rtl w:val="0"/>
        </w:rPr>
        <w:t xml:space="preserve">  </w:t>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89.857142857143"/>
        <w:gridCol w:w="1289.857142857143"/>
        <w:gridCol w:w="1289.857142857143"/>
        <w:gridCol w:w="1289.857142857143"/>
        <w:gridCol w:w="1289.857142857143"/>
        <w:gridCol w:w="1289.857142857143"/>
        <w:gridCol w:w="1289.857142857143"/>
        <w:tblGridChange w:id="0">
          <w:tblGrid>
            <w:gridCol w:w="1289.857142857143"/>
            <w:gridCol w:w="1289.857142857143"/>
            <w:gridCol w:w="1289.857142857143"/>
            <w:gridCol w:w="1289.857142857143"/>
            <w:gridCol w:w="1289.857142857143"/>
            <w:gridCol w:w="1289.857142857143"/>
            <w:gridCol w:w="1289.85714285714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fc3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fc4</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cot3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0.877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0.984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sat3</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sat4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rit1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rit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rit2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0.945</w:t>
            </w:r>
          </w:p>
        </w:tc>
      </w:tr>
      <w:tr>
        <w:trPr>
          <w:cantSplit w:val="0"/>
          <w:trHeight w:val="4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inv3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0.870</w:t>
            </w:r>
          </w:p>
        </w:tc>
      </w:tr>
    </w:tbl>
    <w:p w:rsidR="00000000" w:rsidDel="00000000" w:rsidP="00000000" w:rsidRDefault="00000000" w:rsidRPr="00000000" w14:paraId="000000FA">
      <w:pPr>
        <w:spacing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B">
      <w:pPr>
        <w:spacing w:line="360" w:lineRule="auto"/>
        <w:jc w:val="left"/>
        <w:rPr>
          <w:rFonts w:ascii="Times New Roman" w:cs="Times New Roman" w:eastAsia="Times New Roman" w:hAnsi="Times New Roman"/>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3.2 </w:t>
      </w:r>
      <w:r w:rsidDel="00000000" w:rsidR="00000000" w:rsidRPr="00000000">
        <w:rPr>
          <w:rFonts w:ascii="Times New Roman" w:cs="Times New Roman" w:eastAsia="Times New Roman" w:hAnsi="Times New Roman"/>
          <w:b w:val="1"/>
          <w:bCs w:val="1"/>
          <w:sz w:val="24"/>
          <w:szCs w:val="24"/>
          <w:rtl w:val="0"/>
        </w:rPr>
        <w:t xml:space="preserve">Reliability and Validity Analysis</w:t>
      </w:r>
    </w:p>
    <w:p w:rsidR="00000000" w:rsidDel="00000000" w:rsidP="00000000" w:rsidRDefault="00000000" w:rsidRPr="00000000" w14:paraId="000000FC">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 consistency of each factor was assessed using Cronbach’s alpha. All constructs exceeded the recommended threshold of 0.70 (Nunnally &amp; Bernstein, 1994), with alpha coefficients ranging from 0.798 to 0.918, indicating high reliability. Composite reliability (CR) was also computed to further assess internal consistency. All CR values ranged between 0.81 and 0.93, surpassing the minimum acceptable level of 0.70 for the six latent variables (Fornell &amp; Larcker, 1981), as shown in Table 2. </w:t>
      </w:r>
    </w:p>
    <w:p w:rsidR="00000000" w:rsidDel="00000000" w:rsidP="00000000" w:rsidRDefault="00000000" w:rsidRPr="00000000" w14:paraId="000000FD">
      <w:pPr>
        <w:pStyle w:val="Heading3"/>
        <w:keepNext w:val="0"/>
        <w:keepLines w:val="0"/>
        <w:spacing w:line="360" w:lineRule="auto"/>
        <w:jc w:val="center"/>
        <w:rPr>
          <w:rFonts w:ascii="Times New Roman" w:cs="Times New Roman" w:eastAsia="Times New Roman" w:hAnsi="Times New Roman"/>
          <w:sz w:val="20"/>
          <w:szCs w:val="20"/>
        </w:rPr>
      </w:pPr>
      <w:bookmarkStart w:colFirst="0" w:colLast="0" w:name="_pw7yaqnjyxcz" w:id="1"/>
      <w:bookmarkEnd w:id="1"/>
      <w:r w:rsidDel="00000000" w:rsidR="00000000" w:rsidRPr="00000000">
        <w:rPr>
          <w:rFonts w:ascii="Times New Roman" w:cs="Times New Roman" w:eastAsia="Times New Roman" w:hAnsi="Times New Roman"/>
          <w:sz w:val="20"/>
          <w:szCs w:val="20"/>
          <w:rtl w:val="0"/>
        </w:rPr>
        <w:t xml:space="preserve">Table 2: Reliability and validity Analysis (Source: Authors)</w:t>
      </w:r>
    </w:p>
    <w:tbl>
      <w:tblPr>
        <w:tblStyle w:val="Table2"/>
        <w:tblW w:w="9930.0" w:type="dxa"/>
        <w:jc w:val="left"/>
        <w:tblInd w:w="-615.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230"/>
        <w:gridCol w:w="930"/>
        <w:gridCol w:w="795"/>
        <w:gridCol w:w="795"/>
        <w:gridCol w:w="765"/>
        <w:gridCol w:w="900"/>
        <w:gridCol w:w="900"/>
        <w:gridCol w:w="1275"/>
        <w:gridCol w:w="1290"/>
        <w:gridCol w:w="1050"/>
        <w:tblGridChange w:id="0">
          <w:tblGrid>
            <w:gridCol w:w="1230"/>
            <w:gridCol w:w="930"/>
            <w:gridCol w:w="795"/>
            <w:gridCol w:w="795"/>
            <w:gridCol w:w="765"/>
            <w:gridCol w:w="900"/>
            <w:gridCol w:w="900"/>
            <w:gridCol w:w="1275"/>
            <w:gridCol w:w="1290"/>
            <w:gridCol w:w="1050"/>
          </w:tblGrid>
        </w:tblGridChange>
      </w:tblGrid>
      <w:tr>
        <w:trPr>
          <w:cantSplit w:val="0"/>
          <w:trHeight w:val="58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0FE">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0FF">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Cronbach’s alpha</w:t>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1">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w:t>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alternative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investment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ritual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continuance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satisfaction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0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cohesion</w:t>
            </w: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alternative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0,904</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0,740</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0.894</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0,860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D">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E">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0F">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0">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1">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investment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0,798</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0,703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0.822</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-0,111</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0,838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8">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9">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A">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B">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ritual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0,902</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0,723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1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0.887</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-0,196*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0,423***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0,850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3">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4">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5">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continuance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0,915</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0,784</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-0,235**</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0,111</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0,295***</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0,885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E">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2F">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satisfaction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0,882</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0,720</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0.885</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-0,231**</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0,132†</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0,304***</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0,463***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0,848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9">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cohesion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0,918</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0,737</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0.918</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3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-0,340***</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4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-0,546***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4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4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-0,158*</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43">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0,859</w:t>
            </w:r>
          </w:p>
          <w:p w:rsidR="00000000" w:rsidDel="00000000" w:rsidP="00000000" w:rsidRDefault="00000000" w:rsidRPr="00000000" w14:paraId="00000144">
            <w:pPr>
              <w:spacing w:line="360" w:lineRule="auto"/>
              <w:jc w:val="center"/>
              <w:rPr>
                <w:rFonts w:ascii="Times New Roman" w:cs="Times New Roman" w:eastAsia="Times New Roman" w:hAnsi="Times New Roman"/>
                <w:b w:val="1"/>
                <w:bCs w:val="1"/>
                <w:sz w:val="20"/>
                <w:szCs w:val="20"/>
              </w:rPr>
            </w:pPr>
            <w:r w:rsidDel="00000000" w:rsidR="00000000" w:rsidRPr="00000000">
              <w:rPr>
                <w:rtl w:val="0"/>
              </w:rPr>
            </w:r>
          </w:p>
        </w:tc>
      </w:tr>
    </w:tbl>
    <w:p w:rsidR="00000000" w:rsidDel="00000000" w:rsidP="00000000" w:rsidRDefault="00000000" w:rsidRPr="00000000" w14:paraId="00000145">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Significance of Correlations:</w:t>
      </w:r>
    </w:p>
    <w:p w:rsidR="00000000" w:rsidDel="00000000" w:rsidP="00000000" w:rsidRDefault="00000000" w:rsidRPr="00000000" w14:paraId="0000014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 &lt; 0.100, * p &lt; 0.050, ** p &lt; 0.010, *** p &lt; 0.001</w:t>
      </w:r>
    </w:p>
    <w:p w:rsidR="00000000" w:rsidDel="00000000" w:rsidP="00000000" w:rsidRDefault="00000000" w:rsidRPr="00000000" w14:paraId="00000147">
      <w:pPr>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ab/>
      </w:r>
    </w:p>
    <w:p w:rsidR="00000000" w:rsidDel="00000000" w:rsidP="00000000" w:rsidRDefault="00000000" w:rsidRPr="00000000" w14:paraId="00000148">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3.3 Convergent and Discriminant Validity</w:t>
      </w:r>
    </w:p>
    <w:p w:rsidR="00000000" w:rsidDel="00000000" w:rsidP="00000000" w:rsidRDefault="00000000" w:rsidRPr="00000000" w14:paraId="00000149">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Convergent validity, as presented in Table 2, was supported by the average variance extracted (AVE), with all constructs exceeding the threshold of 0.50 (Fornell &amp; Larcker, 1981). The AVE values ranged from 0.703 to 0.784, indicating that each construct explained more than half of the variance of its indicators. Discriminant validity, which refers to the extent to which construct indicators are distinct from those of other constructs, was established using the Fornell-Larcker criterion, requiring that the square root of each construct’s AVE be greater than its correlation with other constructs. This condition was satisfied for all constructs, as shown in Table 2. The highest correlation between any pair of constructs was 0.463, which was lower than the lowest square root of AVE among all constructs, 0.838 for investment size  (Bollen, 1990). </w:t>
      </w:r>
    </w:p>
    <w:p w:rsidR="00000000" w:rsidDel="00000000" w:rsidP="00000000" w:rsidRDefault="00000000" w:rsidRPr="00000000" w14:paraId="0000014A">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Results</w:t>
      </w:r>
    </w:p>
    <w:p w:rsidR="00000000" w:rsidDel="00000000" w:rsidP="00000000" w:rsidRDefault="00000000" w:rsidRPr="00000000" w14:paraId="0000014B">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4.1 Measurement and Structural Models </w:t>
      </w:r>
    </w:p>
    <w:p w:rsidR="00000000" w:rsidDel="00000000" w:rsidP="00000000" w:rsidRDefault="00000000" w:rsidRPr="00000000" w14:paraId="0000014C">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Anderson and Gerbing's (1988) approach, data analysis is conducted in two steps. First, the scales' reliability and validity are evaluated. Second, SEM analysis is employed to test the model's hypotheses. The fit indices of the measurement model revealed an inadequate model fit to the data  : ( χ2 = 202.687, df=110, χ2 /df =1.843, CFI 0.963, TLI  0.949, RMSEA 0.065). The indices meet the criteria suggested by Hu and Buntler (1999) (TLT and CFI higher than 0.9 and RMSEA lower than 0.08). Moreover, the proposed structural model fitted the data well since all indices were satisfactory: (χ2=170.476, df= 97, χ2 /df 5 1.757, CFI 5 0.969, TLI 5 0.957, RMSEA  0.062), which allowed us to test the hypotheses (Hair et al, 2019).   </w:t>
      </w:r>
    </w:p>
    <w:p w:rsidR="00000000" w:rsidDel="00000000" w:rsidP="00000000" w:rsidRDefault="00000000" w:rsidRPr="00000000" w14:paraId="0000014D">
      <w:pPr>
        <w:spacing w:line="360" w:lineRule="auto"/>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4.2 Hypothesis testing</w:t>
      </w:r>
    </w:p>
    <w:p w:rsidR="00000000" w:rsidDel="00000000" w:rsidP="00000000" w:rsidRDefault="00000000" w:rsidRPr="00000000" w14:paraId="0000014E">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Cardo" w:cs="Cardo" w:eastAsia="Cardo" w:hAnsi="Cardo"/>
          <w:sz w:val="24"/>
          <w:szCs w:val="24"/>
          <w:rtl w:val="0"/>
        </w:rPr>
        <w:t xml:space="preserve">As reported in Table 3 and Figure 2, satisfaction level has a positive and significant effect on Genz’s commitment to a ritualized viewing during Ramadan (β Satis → Co  0.154, t 1.712, p &lt; 0.1). Similarly,  investment size has a positive and significant effect on commitment (β inv → Co 0.281, t 3.082, p &lt; 0.01), supporting H2 and H3. However, the impact of the quality of alternatives on Genz’s commitment to a ritualized viewing during Ramadan was not statistically significant (β alt →Co 0.03, t 0.285, p 0.776), and, therefore, H1 was not supported. Further, commitment is significantly and negatively impacted by family cohesion (β Coh → Co - 0.531, t -6.123, p &lt; 0.001). Thus, H5 is supported. Concerning the mediating effects of commitment between the quality of alternatives, the level of satisfaction, and the size of the investment on continuance use intention, our results confirm the mediating role of commitment to quality of alternatives, satisfaction level, and investment size on streaming services use continuance intention, supporting H4a, H4b, and H4c. Additionally, to measure the impact of the audience genre preferences on Gen Z’s commitment to ritualized viewing on streaming platforms during Ramadan, we used the t-test. In addition, to test the effect of audience genre preferences on commitment, we conduct the t-test (mean comparison test).   Levene's test in Table 6 indicates a significant difference in commitment between the group of respondents who prefer to watch family-friendly content and the second group, who indicate a preference for non-family-friendly programs (F = 8.140; p = 0.005). Group 2 reports a higher commitment to ritualized viewing on streaming platforms during the month of Ramadan. We then calculated Cohen's d (1988), which equals 0.55, indicating a moderate difference between the two groups.  Finally, the path commitment→continuance is significant (β Co → Coti 0.195, t 3.072, p &lt; 0.01); as a result, H7 is supported. </w:t>
      </w:r>
      <w:r w:rsidDel="00000000" w:rsidR="00000000" w:rsidRPr="00000000">
        <w:rPr>
          <w:rtl w:val="0"/>
        </w:rPr>
      </w:r>
    </w:p>
    <w:p w:rsidR="00000000" w:rsidDel="00000000" w:rsidP="00000000" w:rsidRDefault="00000000" w:rsidRPr="00000000" w14:paraId="0000014F">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Table 3: Results of model testing (SEM) (Source: authors)</w:t>
      </w:r>
    </w:p>
    <w:p w:rsidR="00000000" w:rsidDel="00000000" w:rsidP="00000000" w:rsidRDefault="00000000" w:rsidRPr="00000000" w14:paraId="00000150">
      <w:pPr>
        <w:spacing w:line="360" w:lineRule="auto"/>
        <w:rPr>
          <w:rFonts w:ascii="Times New Roman" w:cs="Times New Roman" w:eastAsia="Times New Roman" w:hAnsi="Times New Roman"/>
          <w:b w:val="1"/>
          <w:bCs w:val="1"/>
          <w:sz w:val="20"/>
          <w:szCs w:val="20"/>
        </w:rPr>
      </w:pPr>
      <w:r w:rsidDel="00000000" w:rsidR="00000000" w:rsidRPr="00000000">
        <w:rPr>
          <w:rtl w:val="0"/>
        </w:rPr>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20"/>
        <w:gridCol w:w="1680"/>
        <w:gridCol w:w="1500"/>
        <w:gridCol w:w="1275"/>
        <w:gridCol w:w="1155"/>
        <w:gridCol w:w="2070"/>
        <w:tblGridChange w:id="0">
          <w:tblGrid>
            <w:gridCol w:w="1320"/>
            <w:gridCol w:w="1680"/>
            <w:gridCol w:w="1500"/>
            <w:gridCol w:w="1275"/>
            <w:gridCol w:w="1155"/>
            <w:gridCol w:w="20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Hypothesis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Path coefficient (β)</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Decision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spacing w:line="360" w:lineRule="auto"/>
              <w:jc w:val="left"/>
              <w:rPr>
                <w:rFonts w:ascii="Times New Roman" w:cs="Times New Roman" w:eastAsia="Times New Roman" w:hAnsi="Times New Roman"/>
                <w:sz w:val="20"/>
                <w:szCs w:val="20"/>
              </w:rPr>
            </w:pPr>
            <w:r w:rsidDel="00000000" w:rsidR="00000000" w:rsidRPr="00000000">
              <w:rPr>
                <w:rFonts w:ascii="Cardo" w:cs="Cardo" w:eastAsia="Cardo" w:hAnsi="Cardo"/>
                <w:sz w:val="20"/>
                <w:szCs w:val="20"/>
                <w:rtl w:val="0"/>
              </w:rPr>
              <w:t xml:space="preserve">Alterna→Co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0,003</w:t>
            </w:r>
          </w:p>
          <w:p w:rsidR="00000000" w:rsidDel="00000000" w:rsidP="00000000" w:rsidRDefault="00000000" w:rsidRPr="00000000" w14:paraId="0000015A">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0,285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0.776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supported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spacing w:line="360" w:lineRule="auto"/>
              <w:jc w:val="left"/>
              <w:rPr>
                <w:rFonts w:ascii="Times New Roman" w:cs="Times New Roman" w:eastAsia="Times New Roman" w:hAnsi="Times New Roman"/>
                <w:sz w:val="20"/>
                <w:szCs w:val="20"/>
              </w:rPr>
            </w:pPr>
            <w:r w:rsidDel="00000000" w:rsidR="00000000" w:rsidRPr="00000000">
              <w:rPr>
                <w:rFonts w:ascii="Cardo" w:cs="Cardo" w:eastAsia="Cardo" w:hAnsi="Cardo"/>
                <w:sz w:val="20"/>
                <w:szCs w:val="20"/>
                <w:rtl w:val="0"/>
              </w:rPr>
              <w:t xml:space="preserve">Satis→Co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0,090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1,712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0.087</w:t>
            </w:r>
          </w:p>
          <w:p w:rsidR="00000000" w:rsidDel="00000000" w:rsidP="00000000" w:rsidRDefault="00000000" w:rsidRPr="00000000" w14:paraId="00000163">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Cardo" w:cs="Cardo" w:eastAsia="Cardo" w:hAnsi="Cardo"/>
                <w:sz w:val="20"/>
                <w:szCs w:val="20"/>
                <w:rtl w:val="0"/>
              </w:rPr>
              <w:t xml:space="preserve">Inv→Co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spacing w:line="360" w:lineRule="auto"/>
              <w:jc w:val="lef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0,281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3.082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Cardo" w:cs="Cardo" w:eastAsia="Cardo" w:hAnsi="Cardo"/>
                <w:sz w:val="20"/>
                <w:szCs w:val="20"/>
                <w:rtl w:val="0"/>
              </w:rPr>
              <w:t xml:space="preserve">Coh→Co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-0.531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360" w:lineRule="auto"/>
              <w:jc w:val="left"/>
              <w:rPr>
                <w:rFonts w:ascii="Times New Roman" w:cs="Times New Roman" w:eastAsia="Times New Roman" w:hAnsi="Times New Roman"/>
                <w:b w:val="1"/>
                <w:bCs w:val="1"/>
                <w:sz w:val="20"/>
                <w:szCs w:val="20"/>
              </w:rPr>
            </w:pPr>
            <w:r w:rsidDel="00000000" w:rsidR="00000000" w:rsidRPr="00000000">
              <w:rPr>
                <w:rFonts w:ascii="Cardo" w:cs="Cardo" w:eastAsia="Cardo" w:hAnsi="Cardo"/>
                <w:sz w:val="20"/>
                <w:szCs w:val="20"/>
                <w:rtl w:val="0"/>
              </w:rPr>
              <w:t xml:space="preserve">Co→Coti</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0.195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3.072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Supported</w:t>
            </w:r>
          </w:p>
        </w:tc>
      </w:tr>
    </w:tbl>
    <w:p w:rsidR="00000000" w:rsidDel="00000000" w:rsidP="00000000" w:rsidRDefault="00000000" w:rsidRPr="00000000" w14:paraId="00000177">
      <w:pPr>
        <w:spacing w:line="36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8">
      <w:pPr>
        <w:spacing w:line="36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179">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Table 4: Indirect effects (Source: authors)</w:t>
      </w:r>
    </w:p>
    <w:p w:rsidR="00000000" w:rsidDel="00000000" w:rsidP="00000000" w:rsidRDefault="00000000" w:rsidRPr="00000000" w14:paraId="0000017A">
      <w:pPr>
        <w:spacing w:line="360" w:lineRule="auto"/>
        <w:rPr>
          <w:rFonts w:ascii="Arial" w:cs="Arial" w:eastAsia="Arial" w:hAnsi="Arial"/>
          <w:sz w:val="20"/>
          <w:szCs w:val="20"/>
        </w:rPr>
      </w:pPr>
      <w:r w:rsidDel="00000000" w:rsidR="00000000" w:rsidRPr="00000000">
        <w:rPr>
          <w:rtl w:val="0"/>
        </w:rPr>
      </w:r>
    </w:p>
    <w:tbl>
      <w:tblPr>
        <w:tblStyle w:val="Table4"/>
        <w:tblW w:w="89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1755"/>
        <w:gridCol w:w="975"/>
        <w:gridCol w:w="975"/>
        <w:gridCol w:w="945"/>
        <w:gridCol w:w="1920"/>
        <w:tblGridChange w:id="0">
          <w:tblGrid>
            <w:gridCol w:w="2340"/>
            <w:gridCol w:w="1755"/>
            <w:gridCol w:w="975"/>
            <w:gridCol w:w="975"/>
            <w:gridCol w:w="945"/>
            <w:gridCol w:w="1920"/>
          </w:tblGrid>
        </w:tblGridChange>
      </w:tblGrid>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7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Indirect Path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7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Unstandardized Estimate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7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Lower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7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Upper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7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P-Value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60.0" w:type="dxa"/>
              <w:left w:w="160.0" w:type="dxa"/>
              <w:bottom w:w="160.0" w:type="dxa"/>
              <w:right w:w="160.0" w:type="dxa"/>
            </w:tcMar>
            <w:vAlign w:val="top"/>
          </w:tcPr>
          <w:p w:rsidR="00000000" w:rsidDel="00000000" w:rsidP="00000000" w:rsidRDefault="00000000" w:rsidRPr="00000000" w14:paraId="0000018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Standardized Estimate</w:t>
            </w:r>
            <w:r w:rsidDel="00000000" w:rsidR="00000000" w:rsidRPr="00000000">
              <w:rPr>
                <w:rtl w:val="0"/>
              </w:rPr>
            </w:r>
          </w:p>
        </w:tc>
      </w:tr>
      <w:tr>
        <w:trPr>
          <w:cantSplit w:val="0"/>
          <w:trHeight w:val="67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H4a: alternative --&gt; co-ritual --&gt; continuance</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-0,028</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-0,066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-0,001</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0,089</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6">
            <w:pPr>
              <w:spacing w:line="36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sz w:val="20"/>
                <w:szCs w:val="20"/>
                <w:rtl w:val="0"/>
              </w:rPr>
              <w:t xml:space="preserve">-0,028✝</w:t>
            </w:r>
            <w:r w:rsidDel="00000000" w:rsidR="00000000" w:rsidRPr="00000000">
              <w:rPr>
                <w:rtl w:val="0"/>
              </w:rPr>
            </w:r>
          </w:p>
        </w:tc>
      </w:tr>
      <w:tr>
        <w:trPr>
          <w:cantSplit w:val="0"/>
          <w:trHeight w:val="630"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H4b: investment --&gt; co-ritual --&gt; continuance</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0,057</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0,031</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0,000</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0,083***</w:t>
            </w:r>
          </w:p>
        </w:tc>
      </w:tr>
      <w:tr>
        <w:trPr>
          <w:cantSplit w:val="0"/>
          <w:trHeight w:val="630" w:hRule="atLeast"/>
          <w:tblHeader w:val="0"/>
        </w:trPr>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H4c:satisfaction --&gt; co-ritual --&gt; continuance</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0,056</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8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0,017</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9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0,113</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9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0,002</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vAlign w:val="top"/>
          </w:tcPr>
          <w:p w:rsidR="00000000" w:rsidDel="00000000" w:rsidP="00000000" w:rsidRDefault="00000000" w:rsidRPr="00000000" w14:paraId="0000019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0,054**</w:t>
            </w:r>
          </w:p>
        </w:tc>
      </w:tr>
    </w:tbl>
    <w:p w:rsidR="00000000" w:rsidDel="00000000" w:rsidP="00000000" w:rsidRDefault="00000000" w:rsidRPr="00000000" w14:paraId="0000019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 &lt; 0.001</w:t>
      </w:r>
    </w:p>
    <w:p w:rsidR="00000000" w:rsidDel="00000000" w:rsidP="00000000" w:rsidRDefault="00000000" w:rsidRPr="00000000" w14:paraId="00000194">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 &lt; 0.010</w:t>
      </w:r>
    </w:p>
    <w:p w:rsidR="00000000" w:rsidDel="00000000" w:rsidP="00000000" w:rsidRDefault="00000000" w:rsidRPr="00000000" w14:paraId="00000195">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 &lt; 0.050</w:t>
      </w:r>
    </w:p>
    <w:p w:rsidR="00000000" w:rsidDel="00000000" w:rsidP="00000000" w:rsidRDefault="00000000" w:rsidRPr="00000000" w14:paraId="00000196">
      <w:pPr>
        <w:spacing w:line="360" w:lineRule="auto"/>
        <w:rPr>
          <w:rFonts w:ascii="Times New Roman" w:cs="Times New Roman" w:eastAsia="Times New Roman" w:hAnsi="Times New Roman"/>
          <w:sz w:val="24"/>
          <w:szCs w:val="24"/>
        </w:rPr>
      </w:pPr>
      <w:r w:rsidDel="00000000" w:rsidR="00000000" w:rsidRPr="00000000">
        <w:rPr>
          <w:rFonts w:ascii="Arial Unicode MS" w:cs="Arial Unicode MS" w:eastAsia="Arial Unicode MS" w:hAnsi="Arial Unicode MS"/>
          <w:sz w:val="20"/>
          <w:szCs w:val="20"/>
          <w:rtl w:val="0"/>
        </w:rPr>
        <w:t xml:space="preserve">✝ p &lt; 0.100</w:t>
      </w:r>
      <w:r w:rsidDel="00000000" w:rsidR="00000000" w:rsidRPr="00000000">
        <w:rPr>
          <w:rtl w:val="0"/>
        </w:rPr>
      </w:r>
    </w:p>
    <w:p w:rsidR="00000000" w:rsidDel="00000000" w:rsidP="00000000" w:rsidRDefault="00000000" w:rsidRPr="00000000" w14:paraId="00000197">
      <w:pPr>
        <w:spacing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8">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Table 5:Comparison of means for independent samples (group statistics) (Source: Authors)</w:t>
      </w:r>
    </w:p>
    <w:p w:rsidR="00000000" w:rsidDel="00000000" w:rsidP="00000000" w:rsidRDefault="00000000" w:rsidRPr="00000000" w14:paraId="00000199">
      <w:pPr>
        <w:spacing w:line="360" w:lineRule="auto"/>
        <w:rPr>
          <w:rFonts w:ascii="Times New Roman" w:cs="Times New Roman" w:eastAsia="Times New Roman" w:hAnsi="Times New Roman"/>
          <w:sz w:val="20"/>
          <w:szCs w:val="20"/>
        </w:rPr>
      </w:pPr>
      <w:r w:rsidDel="00000000" w:rsidR="00000000" w:rsidRPr="00000000">
        <w:rPr>
          <w:rtl w:val="0"/>
        </w:rPr>
      </w:r>
    </w:p>
    <w:tbl>
      <w:tblPr>
        <w:tblStyle w:val="Table5"/>
        <w:tblW w:w="9028.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28.625"/>
        <w:gridCol w:w="1128.625"/>
        <w:gridCol w:w="1128.625"/>
        <w:gridCol w:w="1128.625"/>
        <w:gridCol w:w="1128.625"/>
        <w:gridCol w:w="1128.625"/>
        <w:gridCol w:w="1128.625"/>
        <w:gridCol w:w="1128.625"/>
        <w:tblGridChange w:id="0">
          <w:tblGrid>
            <w:gridCol w:w="1128.625"/>
            <w:gridCol w:w="1128.625"/>
            <w:gridCol w:w="1128.625"/>
            <w:gridCol w:w="1128.625"/>
            <w:gridCol w:w="1128.625"/>
            <w:gridCol w:w="1128.625"/>
            <w:gridCol w:w="1128.625"/>
            <w:gridCol w:w="1128.62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Commitment</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Preference/genre: Familial content</w:t>
            </w:r>
          </w:p>
          <w:p w:rsidR="00000000" w:rsidDel="00000000" w:rsidP="00000000" w:rsidRDefault="00000000" w:rsidRPr="00000000" w14:paraId="000001A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N1=101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Statistics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Standard error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Confidence intervalle 95%</w:t>
            </w:r>
          </w:p>
          <w:p w:rsidR="00000000" w:rsidDel="00000000" w:rsidP="00000000" w:rsidRDefault="00000000" w:rsidRPr="00000000" w14:paraId="000001A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Confidence interval</w:t>
            </w:r>
          </w:p>
          <w:p w:rsidR="00000000" w:rsidDel="00000000" w:rsidP="00000000" w:rsidRDefault="00000000" w:rsidRPr="00000000" w14:paraId="000001A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p w:rsidR="00000000" w:rsidDel="00000000" w:rsidP="00000000" w:rsidRDefault="00000000" w:rsidRPr="00000000" w14:paraId="000001A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Mean 1: 2.8251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0.1034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2.6095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3.0172</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SD1=1.01936</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-0.0772</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0.04729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0.91291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1.10216</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Preference/genre:</w:t>
            </w:r>
          </w:p>
          <w:p w:rsidR="00000000" w:rsidDel="00000000" w:rsidP="00000000" w:rsidRDefault="00000000" w:rsidRPr="00000000" w14:paraId="000001C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 Familial content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N2=100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Mean2=3.4500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0.1245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3.1867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3.6876</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1D5">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SD2=1.24034</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-0.0959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0.05829</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1.11228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1.33722</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1EB">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C">
      <w:pPr>
        <w:spacing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Table 6: Levene test (Source: Authors)</w:t>
      </w:r>
    </w:p>
    <w:p w:rsidR="00000000" w:rsidDel="00000000" w:rsidP="00000000" w:rsidRDefault="00000000" w:rsidRPr="00000000" w14:paraId="000001ED">
      <w:pPr>
        <w:spacing w:line="360" w:lineRule="auto"/>
        <w:rPr>
          <w:rFonts w:ascii="Times New Roman" w:cs="Times New Roman" w:eastAsia="Times New Roman" w:hAnsi="Times New Roman"/>
          <w:sz w:val="20"/>
          <w:szCs w:val="20"/>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89.857142857143"/>
        <w:gridCol w:w="1289.857142857143"/>
        <w:gridCol w:w="1289.857142857143"/>
        <w:gridCol w:w="1289.857142857143"/>
        <w:gridCol w:w="1289.857142857143"/>
        <w:gridCol w:w="1289.857142857143"/>
        <w:gridCol w:w="1289.857142857143"/>
        <w:tblGridChange w:id="0">
          <w:tblGrid>
            <w:gridCol w:w="1289.857142857143"/>
            <w:gridCol w:w="1289.857142857143"/>
            <w:gridCol w:w="1289.857142857143"/>
            <w:gridCol w:w="1289.857142857143"/>
            <w:gridCol w:w="1289.857142857143"/>
            <w:gridCol w:w="1289.857142857143"/>
            <w:gridCol w:w="1289.857142857143"/>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Commitment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ddl</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bilateral Sig </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hypothesis of variance equality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8.140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199</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FC">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hypothesis of unequal variances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360" w:lineRule="auto"/>
              <w:jc w:val="left"/>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191.084</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0.000</w:t>
            </w:r>
          </w:p>
        </w:tc>
      </w:tr>
    </w:tbl>
    <w:p w:rsidR="00000000" w:rsidDel="00000000" w:rsidP="00000000" w:rsidRDefault="00000000" w:rsidRPr="00000000" w14:paraId="00000203">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4">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Discussion </w:t>
      </w:r>
    </w:p>
    <w:p w:rsidR="00000000" w:rsidDel="00000000" w:rsidP="00000000" w:rsidRDefault="00000000" w:rsidRPr="00000000" w14:paraId="00000205">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Generation Z, characterized as digital natives, exhibits distinct media consumption patterns that require a nuanced understanding of their commitment to streaming platforms (Yahya and Mammadzada, 2024). This cohort, born after 1996 and into the early 2010s, has grown up surrounded by digital content and online media that is easily accessible. This environment has fundamentally shaped their expectations and interactions with entertainment services (Vidani 2024). Picerello and Digennaro (2025) state that Gen Z members spend an average of nine hours per day on social media and consume over 13 hours of media each day. In this study, we used the investment model to analyze Gen Z’s commitment to ritualized viewing on streaming services during Ramadan. The model (Rusbult, 1980) states that investment size, quality of alternatives, and satisfaction level are the determinants of commitment, which, in turn, predicts the continuance of the relationship (Rusbult &amp; Farrell, 1983). Commitment arises from high dependence, which itself results from a high level of satisfaction, poor alternatives, and the importance of the resources associated with the target. Thus, highly dependent individuals tend to commit. People who are committed express a desire to be involved in the long term and experience psychological attachment (Rusbult et al, 2011). Our results indicate that Gen Z's commitment to ritualized viewing on streaming platforms is largely determined by the size of the investment and, to a lesser extent, by the level of satisfaction. However, the quality of the alternatives did not appear to have a significant impact on the participants' commitment. This finding aligns with the results of Chiu et al. (2025), who found that satisfaction and investment size influence commitment, which in turn impacts the intention to continue using social commerce. However, the effect of the quality of alternatives on commitment is not supported. Similarly, Tseng et al. (2022) demonstrated that commitment toward branded apps is facilitated by satisfaction and investment size, which, in turn, improve app continuance intention and brand purchase. </w:t>
      </w:r>
    </w:p>
    <w:p w:rsidR="00000000" w:rsidDel="00000000" w:rsidP="00000000" w:rsidRDefault="00000000" w:rsidRPr="00000000" w14:paraId="00000206">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explain the relative role of satisfaction in commitment, we suggest that respondents' experience on streaming platforms during Ramadan was not entirely satisfactory. In this regard, Chenwei et al. (2023) suggest that the quality, variety, and price of content influence user satisfaction with streaming services. Moreover, according to Sae-tae and Wang (2024), satisfaction is an assessment made after consuming or using a service. This ex-post assessment takes the form of a positive or negative emotion varying according to the element of the experiment being evaluated. It determines whether the product or service will continue to be used (Kim et al. 2024).  Sae-tae and Wang (2024) found that in music streaming, for example, satisfaction is a critical determinant, driving the intention to continue using the service, and reflecting the desire to achieve goals through its use. Our results show that satisfaction is not the primary predictor of commitment, but rather the size of the investment. Indeed, the more streaming platform users invest in using streaming platforms (registration, payment, preference for ad-free viewing), the more committed they are (Chiu et al. 2025; Uysal, 2016). Furthermore, several studies in the IT context have failed to demonstrate a significant impact of alternative quality on commitment, as opposed to its role in interpersonal relationships. It can be attributed to the place that digital technologies occupy in the lives of users who do not believe that they are capable of being replaced by other alternatives. </w:t>
      </w:r>
    </w:p>
    <w:p w:rsidR="00000000" w:rsidDel="00000000" w:rsidP="00000000" w:rsidRDefault="00000000" w:rsidRPr="00000000" w14:paraId="00000207">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Digital natives are adept at navigating complex online content. They utilize streaming platforms for entertainment, education, and social connection (Corbisiero et al., 2022). As a demographic, this group actively curates its content experience. They seek authenticity, personalization, and opportunities for interaction. Their emotional bond with smartphones also facilitates an immersive media experience (Benitez-Markez et al, 2022). Streaming platforms have changed media production, distribution, and consumption. New modes of consumption, such as binge watching and digital rituals, have emerged. During Ramadan, when media consumption and production increase, this enthusiasm is especially visible. The competition between traditional television and digital media has led some channels to create their own streaming platforms. Others broadcast exclusively through digital media. The proliferation of media, diverse genres, and solo over-the-top viewing via smartphones poses a threat to the tradition of watching television collectively with the family during Ramadan evenings. (Duffet and Mxunyelwa, 2025). Our findings show that family cohesion negatively influences Gen Z’s commitment to ritualized viewing during Ramadan. This is in line with the analysis of Mangialavori et al.  (2021), who suggest that family cohesion and functioning play significant roles in youth smartphone use. Excessive smartphone use is associated with lower family cohesion and more enmeshed family functioning compared to moderate use. Similarly, Kim et al (2024) have identified family dysfunction as a key factor contributing to adolescents' excessive smartphone use. Furthermore, for a broader context, Elhai et al. (2020) demonstrated differences between excessive smartphone users and moderate users in personal values and social norms adaptability. Moreover, we have demonstrated that there is a difference between users who prefer watching family-friendly content and those who prefer non-family-friendly content. In Ramadan, the former are less likely to commit to ritualized viewing of streaming content. We can assume that these respondents prefer to engage in other activities (Ramadan evenings out) or watch their favorite programs on traditional television channels.  According to Damasio et al. (2025), viewers in emerging markets prefer to watch local content on streaming platforms. The choice is driven by the desire to identify with and preserve cultural specificities. Furthermore, according to Redfern (2012), understanding audience preferences is crucial for producers and distributors to determine which films or series to produce and how to market them effectively (Rubenking, 2016). The authors were able to demonstrate that in England, for example, age is a factor that can differentiate audience preferences; thus, the 15-24 age group prefers action and comedy films, while the over-55 age group prefers dramatic content.</w:t>
      </w:r>
    </w:p>
    <w:p w:rsidR="00000000" w:rsidDel="00000000" w:rsidP="00000000" w:rsidRDefault="00000000" w:rsidRPr="00000000" w14:paraId="00000208">
      <w:pPr>
        <w:spacing w:after="240" w:before="24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 Implications</w:t>
      </w:r>
      <w:r w:rsidDel="00000000" w:rsidR="00000000" w:rsidRPr="00000000">
        <w:rPr>
          <w:rtl w:val="0"/>
        </w:rPr>
      </w:r>
    </w:p>
    <w:p w:rsidR="00000000" w:rsidDel="00000000" w:rsidP="00000000" w:rsidRDefault="00000000" w:rsidRPr="00000000" w14:paraId="00000209">
      <w:pPr>
        <w:spacing w:line="36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color w:val="1a1a1a"/>
          <w:sz w:val="24"/>
          <w:szCs w:val="24"/>
          <w:rtl w:val="0"/>
        </w:rPr>
        <w:t xml:space="preserve">This study has both theoretical and practical implications. First, this study develops an integrated model applied to the context of streaming services, which are beginning to operate in emerging markets such as Tunisia, rather than illegal streaming, which has been prevalent for many years. This extended model indicates that the inclusion of IM constructs (satisfaction level, investment size, quality of alternatives, and commitment) cannot adequately explain the complexity of commitments to streaming platforms during the month of Ramadan, when Muslims' lives are characterized by economic and media activity in addition to religious practices. Ramadan is mainly celebrated in families, where gathering around the table to break the fast or watching TV together are rituals passed down from generation to generation. The concept of "ritualized viewing during Ramadan" is motivated by the symbolic meaning associated with this practice, which generally occurs at the same time of day. </w:t>
      </w:r>
      <w:r w:rsidDel="00000000" w:rsidR="00000000" w:rsidRPr="00000000">
        <w:rPr>
          <w:rFonts w:ascii="Times New Roman" w:cs="Times New Roman" w:eastAsia="Times New Roman" w:hAnsi="Times New Roman"/>
          <w:sz w:val="24"/>
          <w:szCs w:val="24"/>
          <w:rtl w:val="0"/>
        </w:rPr>
        <w:t xml:space="preserve">Cultural anthropologists were the first to take an interest in rituals.  Sociologists and psychologists have contributed to the development of this field of study.</w:t>
      </w:r>
      <w:r w:rsidDel="00000000" w:rsidR="00000000" w:rsidRPr="00000000">
        <w:rPr>
          <w:rFonts w:ascii="Times New Roman" w:cs="Times New Roman" w:eastAsia="Times New Roman" w:hAnsi="Times New Roman"/>
          <w:color w:val="1a1a1a"/>
          <w:sz w:val="24"/>
          <w:szCs w:val="24"/>
          <w:rtl w:val="0"/>
        </w:rPr>
        <w:t xml:space="preserve"> There may be an interest in studying digital consumption rituals in marketing research, particularly given Ramadan's importance as a crossroads between religious, social, and economic practices.</w:t>
      </w:r>
    </w:p>
    <w:p w:rsidR="00000000" w:rsidDel="00000000" w:rsidP="00000000" w:rsidRDefault="00000000" w:rsidRPr="00000000" w14:paraId="0000020A">
      <w:pPr>
        <w:spacing w:line="36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color w:val="1a1a1a"/>
          <w:sz w:val="24"/>
          <w:szCs w:val="24"/>
          <w:rtl w:val="0"/>
        </w:rPr>
        <w:t xml:space="preserve">Furthermore, Generation Z, the first generation to have never known a world without the internet, has an emotional connection to their smartphones, using them for learning, entertainment, and consuming products. Generation Z is facing a dual choice: either consume their favorite media content during Ramadan with their families, as previous generations did, or choose ritualized solo viewing via smartphone. Hence, the importance of the variables “family cohesion” and “genre preferences” can shed additional light on Gen Z's media consumption patterns.</w:t>
      </w:r>
    </w:p>
    <w:p w:rsidR="00000000" w:rsidDel="00000000" w:rsidP="00000000" w:rsidRDefault="00000000" w:rsidRPr="00000000" w14:paraId="0000020B">
      <w:pPr>
        <w:spacing w:line="36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color w:val="1a1a1a"/>
          <w:sz w:val="24"/>
          <w:szCs w:val="24"/>
          <w:rtl w:val="0"/>
        </w:rPr>
        <w:t xml:space="preserve">Second, this study identified that investment size is the primary factor in establishing and maintaining commitment. Hence, motivating users to invest more time and effort in using streaming service platforms could enhance Gen Z commitment during Ramadan. Streaming platforms can reward loyal users to increase the perceived value of their investment by offering discounts or free exclusive content, such as behind-the-scenes footage of series or programs, or interviews with their favorite stars. The relatively low role of satisfaction and the lack of impact of alternatives suggest that streaming platforms need to improve their offerings to increase satisfaction among users who do not already perceive alternatives to their services. Streaming platforms should therefore focus their communication on the safety of viewing compared to illegal streaming sites, emphasizing their broad range of genres—including comedy, drama, action, and religious programs—and highlighting the option for ad-free family viewing, which helps preserve cultural heritage. </w:t>
      </w:r>
    </w:p>
    <w:p w:rsidR="00000000" w:rsidDel="00000000" w:rsidP="00000000" w:rsidRDefault="00000000" w:rsidRPr="00000000" w14:paraId="0000020C">
      <w:pPr>
        <w:spacing w:line="360" w:lineRule="auto"/>
        <w:rPr>
          <w:rFonts w:ascii="Times New Roman" w:cs="Times New Roman" w:eastAsia="Times New Roman" w:hAnsi="Times New Roman"/>
          <w:color w:val="1a1a1a"/>
          <w:sz w:val="24"/>
          <w:szCs w:val="24"/>
        </w:rPr>
      </w:pPr>
      <w:r w:rsidDel="00000000" w:rsidR="00000000" w:rsidRPr="00000000">
        <w:rPr>
          <w:rFonts w:ascii="Times New Roman" w:cs="Times New Roman" w:eastAsia="Times New Roman" w:hAnsi="Times New Roman"/>
          <w:color w:val="1a1a1a"/>
          <w:sz w:val="24"/>
          <w:szCs w:val="24"/>
          <w:rtl w:val="0"/>
        </w:rPr>
        <w:t xml:space="preserve">Gen Z seeks authentic online connections, valuing social proof, creator interaction, and active participation. Streaming platforms fostering community, effortless sharing, and creator-driven formats like crafting reels and previews appeal to them by enabling belonging and self-expression. Features like ephemeral comments, interactive watch parties, and collaborative playlists enhance social presence, interactivity, and engagement. This combination of diverse content and social tools drives GenZ’s consistent engagement, boosting user satisfaction and commitment. </w:t>
      </w:r>
    </w:p>
    <w:p w:rsidR="00000000" w:rsidDel="00000000" w:rsidP="00000000" w:rsidRDefault="00000000" w:rsidRPr="00000000" w14:paraId="0000020D">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line="360" w:lineRule="auto"/>
        <w:rPr>
          <w:rFonts w:ascii="Times New Roman" w:cs="Times New Roman" w:eastAsia="Times New Roman" w:hAnsi="Times New Roman"/>
          <w:b w:val="1"/>
          <w:bCs w:val="1"/>
          <w:color w:val="1a1a1a"/>
          <w:sz w:val="24"/>
          <w:szCs w:val="24"/>
        </w:rPr>
      </w:pPr>
      <w:r w:rsidDel="00000000" w:rsidR="00000000" w:rsidRPr="00000000">
        <w:rPr>
          <w:rFonts w:ascii="Times New Roman" w:cs="Times New Roman" w:eastAsia="Times New Roman" w:hAnsi="Times New Roman"/>
          <w:b w:val="1"/>
          <w:bCs w:val="1"/>
          <w:color w:val="1a1a1a"/>
          <w:sz w:val="24"/>
          <w:szCs w:val="24"/>
          <w:rtl w:val="0"/>
        </w:rPr>
        <w:t xml:space="preserve">7. Limitations and directions for future research</w:t>
      </w:r>
    </w:p>
    <w:p w:rsidR="00000000" w:rsidDel="00000000" w:rsidP="00000000" w:rsidRDefault="00000000" w:rsidRPr="00000000" w14:paraId="0000020F">
      <w:pPr>
        <w:spacing w:after="240" w:before="24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color w:val="1a1a1a"/>
          <w:sz w:val="24"/>
          <w:szCs w:val="24"/>
          <w:rtl w:val="0"/>
        </w:rPr>
        <w:t xml:space="preserve">The first limitation is its scope. This study exclusively included Generation Z undergraduate Tunisian students and examined their viewing habits during a specific time of year. The second limitation is confirmation bias. Some respondents may deny using streaming platforms even though they are subscribers. This could be due to social pressure to boycott platforms whose owners have faced controversy or prison sentences. Future research could improve the proposed conceptual model by analyzing the motivations of streaming platform users during Ramadan as well as during the rest of the year, and by explaining potential differences in media consumption patterns between millennials and Gen Z.</w:t>
      </w:r>
      <w:r w:rsidDel="00000000" w:rsidR="00000000" w:rsidRPr="00000000">
        <w:rPr>
          <w:rtl w:val="0"/>
        </w:rPr>
      </w:r>
    </w:p>
    <w:p w:rsidR="00000000" w:rsidDel="00000000" w:rsidP="00000000" w:rsidRDefault="00000000" w:rsidRPr="00000000" w14:paraId="00000210">
      <w:pPr>
        <w:spacing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1">
      <w:pPr>
        <w:spacing w:line="360" w:lineRule="auto"/>
        <w:ind w:firstLine="360"/>
        <w:rPr>
          <w:sz w:val="24"/>
          <w:szCs w:val="24"/>
        </w:rPr>
      </w:pP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3">
      <w:pPr>
        <w:spacing w:line="360" w:lineRule="auto"/>
        <w:ind w:firstLine="360"/>
        <w:rPr>
          <w:sz w:val="24"/>
          <w:szCs w:val="24"/>
        </w:rPr>
      </w:pPr>
      <w:r w:rsidDel="00000000" w:rsidR="00000000" w:rsidRPr="00000000">
        <w:rPr>
          <w:rtl w:val="0"/>
        </w:rPr>
      </w:r>
    </w:p>
    <w:p w:rsidR="00000000" w:rsidDel="00000000" w:rsidP="00000000" w:rsidRDefault="00000000" w:rsidRPr="00000000" w14:paraId="00000214">
      <w:pPr>
        <w:spacing w:line="360" w:lineRule="auto"/>
        <w:rPr>
          <w:sz w:val="24"/>
          <w:szCs w:val="24"/>
        </w:rPr>
      </w:pPr>
      <w:r w:rsidDel="00000000" w:rsidR="00000000" w:rsidRPr="00000000">
        <w:rPr>
          <w:rtl w:val="0"/>
        </w:rPr>
      </w:r>
    </w:p>
    <w:p w:rsidR="00000000" w:rsidDel="00000000" w:rsidP="00000000" w:rsidRDefault="00000000" w:rsidRPr="00000000" w14:paraId="00000215">
      <w:pPr>
        <w:spacing w:line="360" w:lineRule="auto"/>
        <w:rPr>
          <w:sz w:val="24"/>
          <w:szCs w:val="24"/>
        </w:rPr>
      </w:pPr>
      <w:r w:rsidDel="00000000" w:rsidR="00000000" w:rsidRPr="00000000">
        <w:rPr>
          <w:rtl w:val="0"/>
        </w:rPr>
      </w:r>
    </w:p>
    <w:p w:rsidR="00000000" w:rsidDel="00000000" w:rsidP="00000000" w:rsidRDefault="00000000" w:rsidRPr="00000000" w14:paraId="00000216">
      <w:pPr>
        <w:spacing w:line="360" w:lineRule="auto"/>
        <w:rPr>
          <w:sz w:val="24"/>
          <w:szCs w:val="24"/>
        </w:rPr>
      </w:pPr>
      <w:r w:rsidDel="00000000" w:rsidR="00000000" w:rsidRPr="00000000">
        <w:rPr>
          <w:rtl w:val="0"/>
        </w:rPr>
      </w:r>
    </w:p>
    <w:p w:rsidR="00000000" w:rsidDel="00000000" w:rsidP="00000000" w:rsidRDefault="00000000" w:rsidRPr="00000000" w14:paraId="00000217">
      <w:pPr>
        <w:spacing w:line="360" w:lineRule="auto"/>
        <w:rPr>
          <w:sz w:val="24"/>
          <w:szCs w:val="24"/>
        </w:rPr>
      </w:pPr>
      <w:r w:rsidDel="00000000" w:rsidR="00000000" w:rsidRPr="00000000">
        <w:rPr>
          <w:rtl w:val="0"/>
        </w:rPr>
      </w:r>
    </w:p>
    <w:p w:rsidR="00000000" w:rsidDel="00000000" w:rsidP="00000000" w:rsidRDefault="00000000" w:rsidRPr="00000000" w14:paraId="00000218">
      <w:pPr>
        <w:spacing w:line="360" w:lineRule="auto"/>
        <w:rPr>
          <w:sz w:val="24"/>
          <w:szCs w:val="24"/>
        </w:rPr>
      </w:pPr>
      <w:r w:rsidDel="00000000" w:rsidR="00000000" w:rsidRPr="00000000">
        <w:rPr>
          <w:rtl w:val="0"/>
        </w:rPr>
      </w:r>
    </w:p>
    <w:p w:rsidR="00000000" w:rsidDel="00000000" w:rsidP="00000000" w:rsidRDefault="00000000" w:rsidRPr="00000000" w14:paraId="00000219">
      <w:pPr>
        <w:spacing w:line="360" w:lineRule="auto"/>
        <w:rPr>
          <w:sz w:val="24"/>
          <w:szCs w:val="24"/>
        </w:rPr>
      </w:pPr>
      <w:r w:rsidDel="00000000" w:rsidR="00000000" w:rsidRPr="00000000">
        <w:rPr>
          <w:rtl w:val="0"/>
        </w:rPr>
      </w:r>
    </w:p>
    <w:p w:rsidR="00000000" w:rsidDel="00000000" w:rsidP="00000000" w:rsidRDefault="00000000" w:rsidRPr="00000000" w14:paraId="0000021A">
      <w:pPr>
        <w:spacing w:line="360" w:lineRule="auto"/>
        <w:rPr>
          <w:sz w:val="24"/>
          <w:szCs w:val="24"/>
        </w:rPr>
      </w:pPr>
      <w:r w:rsidDel="00000000" w:rsidR="00000000" w:rsidRPr="00000000">
        <w:rPr>
          <w:rtl w:val="0"/>
        </w:rPr>
      </w:r>
    </w:p>
    <w:p w:rsidR="00000000" w:rsidDel="00000000" w:rsidP="00000000" w:rsidRDefault="00000000" w:rsidRPr="00000000" w14:paraId="0000021B">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References</w:t>
      </w:r>
    </w:p>
    <w:p w:rsidR="00000000" w:rsidDel="00000000" w:rsidP="00000000" w:rsidRDefault="00000000" w:rsidRPr="00000000" w14:paraId="0000021C">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-Al-Mahadin, S. (2011). Five marriages and a funeral: Constructing the sexually transgressive female on Arab satellite channels.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International Journal of Media &amp; Cultural Politics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7</w:t>
      </w:r>
      <w:r w:rsidDel="00000000" w:rsidR="00000000" w:rsidRPr="00000000">
        <w:rPr>
          <w:rFonts w:ascii="Times New Roman" w:cs="Times New Roman" w:eastAsia="Times New Roman" w:hAnsi="Times New Roman"/>
          <w:color w:val="222222"/>
          <w:sz w:val="24"/>
          <w:szCs w:val="24"/>
          <w:highlight w:val="white"/>
          <w:rtl w:val="0"/>
        </w:rPr>
        <w:t xml:space="preserve">(2), 173-187.</w:t>
      </w:r>
      <w:r w:rsidDel="00000000" w:rsidR="00000000" w:rsidRPr="00000000">
        <w:rPr>
          <w:rtl w:val="0"/>
        </w:rPr>
      </w:r>
    </w:p>
    <w:p w:rsidR="00000000" w:rsidDel="00000000" w:rsidP="00000000" w:rsidRDefault="00000000" w:rsidRPr="00000000" w14:paraId="0000021D">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-Anderson, J.C. and Gerbing, D.W. (1988), “Structural equation modeling in practice: a review and recommended two-step approach”, Psychological Bulletin, Vol. 103 No. 3, pp. 411-423.</w:t>
      </w:r>
    </w:p>
    <w:p w:rsidR="00000000" w:rsidDel="00000000" w:rsidP="00000000" w:rsidRDefault="00000000" w:rsidRPr="00000000" w14:paraId="0000021E">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-Auditya, A., &amp; Hidayat, Z. (2021). Netflix in Indonesia: Influential Factors on Customer Engagement among Millennials' Subscribers. </w:t>
      </w:r>
      <w:r w:rsidDel="00000000" w:rsidR="00000000" w:rsidRPr="00000000">
        <w:rPr>
          <w:rFonts w:ascii="Times New Roman" w:cs="Times New Roman" w:eastAsia="Times New Roman" w:hAnsi="Times New Roman"/>
          <w:i w:val="1"/>
          <w:iCs w:val="1"/>
          <w:sz w:val="24"/>
          <w:szCs w:val="24"/>
          <w:highlight w:val="white"/>
          <w:rtl w:val="0"/>
        </w:rPr>
        <w:t xml:space="preserve">Journal of Distribution Science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19</w:t>
      </w:r>
      <w:r w:rsidDel="00000000" w:rsidR="00000000" w:rsidRPr="00000000">
        <w:rPr>
          <w:rFonts w:ascii="Times New Roman" w:cs="Times New Roman" w:eastAsia="Times New Roman" w:hAnsi="Times New Roman"/>
          <w:sz w:val="24"/>
          <w:szCs w:val="24"/>
          <w:highlight w:val="white"/>
          <w:rtl w:val="0"/>
        </w:rPr>
        <w:t xml:space="preserve">(1), 89-103.</w:t>
      </w:r>
    </w:p>
    <w:p w:rsidR="00000000" w:rsidDel="00000000" w:rsidP="00000000" w:rsidRDefault="00000000" w:rsidRPr="00000000" w14:paraId="0000021F">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Azizah, U., Mardani, R. M., &amp; Nurhidayah, N. (2025). The Effect of Increasing Digitalization of Islamic Banking and Digital Financial Literacy on Generation-Z Saving Behavior at Islamic Banks with the Mediating Role of Halal Lifestyle. </w:t>
      </w:r>
      <w:r w:rsidDel="00000000" w:rsidR="00000000" w:rsidRPr="00000000">
        <w:rPr>
          <w:rFonts w:ascii="Times New Roman" w:cs="Times New Roman" w:eastAsia="Times New Roman" w:hAnsi="Times New Roman"/>
          <w:i w:val="1"/>
          <w:iCs w:val="1"/>
          <w:color w:val="222222"/>
          <w:sz w:val="24"/>
          <w:szCs w:val="24"/>
          <w:highlight w:val="white"/>
          <w:rtl w:val="0"/>
        </w:rPr>
        <w:t xml:space="preserve">Electronic Journal of Education, Social Economics and Technology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6</w:t>
      </w:r>
      <w:r w:rsidDel="00000000" w:rsidR="00000000" w:rsidRPr="00000000">
        <w:rPr>
          <w:rFonts w:ascii="Times New Roman" w:cs="Times New Roman" w:eastAsia="Times New Roman" w:hAnsi="Times New Roman"/>
          <w:color w:val="222222"/>
          <w:sz w:val="24"/>
          <w:szCs w:val="24"/>
          <w:highlight w:val="white"/>
          <w:rtl w:val="0"/>
        </w:rPr>
        <w:t xml:space="preserve">(1), 996-1006.</w:t>
      </w:r>
      <w:r w:rsidDel="00000000" w:rsidR="00000000" w:rsidRPr="00000000">
        <w:rPr>
          <w:rtl w:val="0"/>
        </w:rPr>
      </w:r>
    </w:p>
    <w:p w:rsidR="00000000" w:rsidDel="00000000" w:rsidP="00000000" w:rsidRDefault="00000000" w:rsidRPr="00000000" w14:paraId="00000220">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Benítez-Márquez, M. D., Sánchez-Teba, E. M., Bermúdez-González, G., &amp; Núñez-Rydman, E. S. (2022). Generation Z within the workforce and in the workplace: A bibliometric analysis. </w:t>
      </w:r>
      <w:r w:rsidDel="00000000" w:rsidR="00000000" w:rsidRPr="00000000">
        <w:rPr>
          <w:rFonts w:ascii="Times New Roman" w:cs="Times New Roman" w:eastAsia="Times New Roman" w:hAnsi="Times New Roman"/>
          <w:i w:val="1"/>
          <w:iCs w:val="1"/>
          <w:color w:val="222222"/>
          <w:sz w:val="24"/>
          <w:szCs w:val="24"/>
          <w:highlight w:val="white"/>
          <w:rtl w:val="0"/>
        </w:rPr>
        <w:t xml:space="preserve">Frontiers in psychology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12</w:t>
      </w:r>
      <w:r w:rsidDel="00000000" w:rsidR="00000000" w:rsidRPr="00000000">
        <w:rPr>
          <w:rFonts w:ascii="Times New Roman" w:cs="Times New Roman" w:eastAsia="Times New Roman" w:hAnsi="Times New Roman"/>
          <w:color w:val="222222"/>
          <w:sz w:val="24"/>
          <w:szCs w:val="24"/>
          <w:highlight w:val="white"/>
          <w:rtl w:val="0"/>
        </w:rPr>
        <w:t xml:space="preserve">, 736820.</w:t>
      </w:r>
      <w:r w:rsidDel="00000000" w:rsidR="00000000" w:rsidRPr="00000000">
        <w:rPr>
          <w:rtl w:val="0"/>
        </w:rPr>
      </w:r>
    </w:p>
    <w:p w:rsidR="00000000" w:rsidDel="00000000" w:rsidP="00000000" w:rsidRDefault="00000000" w:rsidRPr="00000000" w14:paraId="00000221">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-Baron, R. M., &amp; Kenny, D. A. (1986). The moderator-mediator variable distinction in social psychological research: Conceptual, strategic, and statistical considerations. </w:t>
      </w:r>
      <w:r w:rsidDel="00000000" w:rsidR="00000000" w:rsidRPr="00000000">
        <w:rPr>
          <w:rFonts w:ascii="Times New Roman" w:cs="Times New Roman" w:eastAsia="Times New Roman" w:hAnsi="Times New Roman"/>
          <w:i w:val="1"/>
          <w:iCs w:val="1"/>
          <w:sz w:val="24"/>
          <w:szCs w:val="24"/>
          <w:highlight w:val="white"/>
          <w:rtl w:val="0"/>
        </w:rPr>
        <w:t xml:space="preserve">Journal of Personality and Social Psychology</w:t>
      </w:r>
      <w:r w:rsidDel="00000000" w:rsidR="00000000" w:rsidRPr="00000000">
        <w:rPr>
          <w:rFonts w:ascii="Times New Roman" w:cs="Times New Roman" w:eastAsia="Times New Roman" w:hAnsi="Times New Roman"/>
          <w:sz w:val="24"/>
          <w:szCs w:val="24"/>
          <w:highlight w:val="white"/>
          <w:rtl w:val="0"/>
        </w:rPr>
        <w:t xml:space="preserve">, 51, 1173-1182.</w:t>
      </w:r>
    </w:p>
    <w:p w:rsidR="00000000" w:rsidDel="00000000" w:rsidP="00000000" w:rsidRDefault="00000000" w:rsidRPr="00000000" w14:paraId="00000222">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-Bartholomew, D. E., &amp; Mason, M. J. (2020). Facebook rituals: Identifying rituals of social networking sites using structural ritualization theory. </w:t>
      </w:r>
      <w:r w:rsidDel="00000000" w:rsidR="00000000" w:rsidRPr="00000000">
        <w:rPr>
          <w:rFonts w:ascii="Times New Roman" w:cs="Times New Roman" w:eastAsia="Times New Roman" w:hAnsi="Times New Roman"/>
          <w:i w:val="1"/>
          <w:iCs w:val="1"/>
          <w:color w:val="222222"/>
          <w:sz w:val="24"/>
          <w:szCs w:val="24"/>
          <w:highlight w:val="white"/>
          <w:rtl w:val="0"/>
        </w:rPr>
        <w:t xml:space="preserve">Journal of Consumer Behaviour</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19</w:t>
      </w:r>
      <w:r w:rsidDel="00000000" w:rsidR="00000000" w:rsidRPr="00000000">
        <w:rPr>
          <w:rFonts w:ascii="Times New Roman" w:cs="Times New Roman" w:eastAsia="Times New Roman" w:hAnsi="Times New Roman"/>
          <w:color w:val="222222"/>
          <w:sz w:val="24"/>
          <w:szCs w:val="24"/>
          <w:highlight w:val="white"/>
          <w:rtl w:val="0"/>
        </w:rPr>
        <w:t xml:space="preserve">(2), 142-150.</w:t>
      </w:r>
      <w:r w:rsidDel="00000000" w:rsidR="00000000" w:rsidRPr="00000000">
        <w:rPr>
          <w:rtl w:val="0"/>
        </w:rPr>
      </w:r>
    </w:p>
    <w:p w:rsidR="00000000" w:rsidDel="00000000" w:rsidP="00000000" w:rsidRDefault="00000000" w:rsidRPr="00000000" w14:paraId="00000223">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-Branch, S. E., Wilson, K. M., &amp; Agnew, C. R. (2013). Committed to Oprah, Homer, or House: Using the investment model to understand parasocial relationships. Psychology of Popular Media Culture, 2(2), 96.</w:t>
      </w:r>
    </w:p>
    <w:p w:rsidR="00000000" w:rsidDel="00000000" w:rsidP="00000000" w:rsidRDefault="00000000" w:rsidRPr="00000000" w14:paraId="00000224">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Bollen, K.A. (1990). Overall fit in covariance structure models: two types of sample size effects, Psychol. Bull. 107 (1990) 256–259, https://doi.org/10.1037/0033- 2909.107.2.256.</w:t>
      </w:r>
    </w:p>
    <w:p w:rsidR="00000000" w:rsidDel="00000000" w:rsidP="00000000" w:rsidRDefault="00000000" w:rsidRPr="00000000" w14:paraId="00000225">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Cha, J., &amp; Chan-Olmsted, S. (2024). Binge-Watching Behaviors: Conceptualization, Motives, Demographics, and Program Genre Preferences.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International Journal on Media Management</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26</w:t>
      </w:r>
      <w:r w:rsidDel="00000000" w:rsidR="00000000" w:rsidRPr="00000000">
        <w:rPr>
          <w:rFonts w:ascii="Times New Roman" w:cs="Times New Roman" w:eastAsia="Times New Roman" w:hAnsi="Times New Roman"/>
          <w:color w:val="222222"/>
          <w:sz w:val="24"/>
          <w:szCs w:val="24"/>
          <w:highlight w:val="white"/>
          <w:rtl w:val="0"/>
        </w:rPr>
        <w:t xml:space="preserve">(3-4), 117-143.</w:t>
      </w:r>
      <w:r w:rsidDel="00000000" w:rsidR="00000000" w:rsidRPr="00000000">
        <w:rPr>
          <w:rtl w:val="0"/>
        </w:rPr>
      </w:r>
    </w:p>
    <w:p w:rsidR="00000000" w:rsidDel="00000000" w:rsidP="00000000" w:rsidRDefault="00000000" w:rsidRPr="00000000" w14:paraId="00000226">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Chalaby, J. K. (2024). The streaming industry and the platform economy: An analysis. </w:t>
      </w:r>
      <w:r w:rsidDel="00000000" w:rsidR="00000000" w:rsidRPr="00000000">
        <w:rPr>
          <w:rFonts w:ascii="Times New Roman" w:cs="Times New Roman" w:eastAsia="Times New Roman" w:hAnsi="Times New Roman"/>
          <w:i w:val="1"/>
          <w:iCs w:val="1"/>
          <w:color w:val="222222"/>
          <w:sz w:val="24"/>
          <w:szCs w:val="24"/>
          <w:highlight w:val="white"/>
          <w:rtl w:val="0"/>
        </w:rPr>
        <w:t xml:space="preserve">Media, Culture &amp; Society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46</w:t>
      </w:r>
      <w:r w:rsidDel="00000000" w:rsidR="00000000" w:rsidRPr="00000000">
        <w:rPr>
          <w:rFonts w:ascii="Times New Roman" w:cs="Times New Roman" w:eastAsia="Times New Roman" w:hAnsi="Times New Roman"/>
          <w:color w:val="222222"/>
          <w:sz w:val="24"/>
          <w:szCs w:val="24"/>
          <w:highlight w:val="white"/>
          <w:rtl w:val="0"/>
        </w:rPr>
        <w:t xml:space="preserve">(3), 552-571.</w:t>
      </w:r>
      <w:r w:rsidDel="00000000" w:rsidR="00000000" w:rsidRPr="00000000">
        <w:rPr>
          <w:rtl w:val="0"/>
        </w:rPr>
      </w:r>
    </w:p>
    <w:p w:rsidR="00000000" w:rsidDel="00000000" w:rsidP="00000000" w:rsidRDefault="00000000" w:rsidRPr="00000000" w14:paraId="00000227">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-Caryl E, Rusbult J, and Agnew C (2005), “</w:t>
      </w:r>
      <w:hyperlink r:id="rId8">
        <w:r w:rsidDel="00000000" w:rsidR="00000000" w:rsidRPr="00000000">
          <w:rPr>
            <w:rFonts w:ascii="Times New Roman" w:cs="Times New Roman" w:eastAsia="Times New Roman" w:hAnsi="Times New Roman"/>
            <w:sz w:val="24"/>
            <w:szCs w:val="24"/>
            <w:highlight w:val="white"/>
            <w:rtl w:val="0"/>
          </w:rPr>
          <w:t xml:space="preserve">The Investment Model Scale: Measuring commitment level, satisfaction level, quality of alternatives, and investment size</w:t>
        </w:r>
      </w:hyperlink>
      <w:r w:rsidDel="00000000" w:rsidR="00000000" w:rsidRPr="00000000">
        <w:rPr>
          <w:rFonts w:ascii="Times New Roman" w:cs="Times New Roman" w:eastAsia="Times New Roman" w:hAnsi="Times New Roman"/>
          <w:sz w:val="24"/>
          <w:szCs w:val="24"/>
          <w:highlight w:val="white"/>
          <w:rtl w:val="0"/>
        </w:rPr>
        <w:t xml:space="preserve">”, </w:t>
      </w:r>
      <w:hyperlink r:id="rId9">
        <w:r w:rsidDel="00000000" w:rsidR="00000000" w:rsidRPr="00000000">
          <w:rPr>
            <w:rFonts w:ascii="Times New Roman" w:cs="Times New Roman" w:eastAsia="Times New Roman" w:hAnsi="Times New Roman"/>
            <w:i w:val="1"/>
            <w:iCs w:val="1"/>
            <w:sz w:val="24"/>
            <w:szCs w:val="24"/>
            <w:highlight w:val="white"/>
            <w:rtl w:val="0"/>
          </w:rPr>
          <w:t xml:space="preserve">Personal </w:t>
        </w:r>
      </w:hyperlink>
      <w:r w:rsidDel="00000000" w:rsidR="00000000" w:rsidRPr="00000000">
        <w:rPr>
          <w:rFonts w:ascii="Times New Roman" w:cs="Times New Roman" w:eastAsia="Times New Roman" w:hAnsi="Times New Roman"/>
          <w:i w:val="1"/>
          <w:iCs w:val="1"/>
          <w:sz w:val="24"/>
          <w:szCs w:val="24"/>
          <w:rtl w:val="0"/>
        </w:rPr>
        <w:t xml:space="preserve">Relationships </w:t>
      </w:r>
      <w:r w:rsidDel="00000000" w:rsidR="00000000" w:rsidRPr="00000000">
        <w:rPr>
          <w:rFonts w:ascii="Times New Roman" w:cs="Times New Roman" w:eastAsia="Times New Roman" w:hAnsi="Times New Roman"/>
          <w:sz w:val="24"/>
          <w:szCs w:val="24"/>
          <w:rtl w:val="0"/>
        </w:rPr>
        <w:t xml:space="preserve">Volume</w:t>
      </w:r>
      <w:hyperlink r:id="rId10">
        <w:r w:rsidDel="00000000" w:rsidR="00000000" w:rsidRPr="00000000">
          <w:rPr>
            <w:rFonts w:ascii="Times New Roman" w:cs="Times New Roman" w:eastAsia="Times New Roman" w:hAnsi="Times New Roman"/>
            <w:sz w:val="24"/>
            <w:szCs w:val="24"/>
            <w:highlight w:val="white"/>
            <w:rtl w:val="0"/>
          </w:rPr>
          <w:t xml:space="preserve"> 5, Issue 4</w:t>
        </w:r>
      </w:hyperlink>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228">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-Chang, P. C., &amp; Chiu, Y. P. (2023). Factors influencing switching intention and customer retention of over-the-top (OTT) viewing behavior in Taiwan: the push–pull–mooring model. </w:t>
      </w:r>
      <w:r w:rsidDel="00000000" w:rsidR="00000000" w:rsidRPr="00000000">
        <w:rPr>
          <w:rFonts w:ascii="Times New Roman" w:cs="Times New Roman" w:eastAsia="Times New Roman" w:hAnsi="Times New Roman"/>
          <w:i w:val="1"/>
          <w:iCs w:val="1"/>
          <w:color w:val="222222"/>
          <w:sz w:val="24"/>
          <w:szCs w:val="24"/>
          <w:highlight w:val="white"/>
          <w:rtl w:val="0"/>
        </w:rPr>
        <w:t xml:space="preserve">Emerging Media</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w:t>
      </w:r>
      <w:r w:rsidDel="00000000" w:rsidR="00000000" w:rsidRPr="00000000">
        <w:rPr>
          <w:rFonts w:ascii="Times New Roman" w:cs="Times New Roman" w:eastAsia="Times New Roman" w:hAnsi="Times New Roman"/>
          <w:color w:val="222222"/>
          <w:sz w:val="24"/>
          <w:szCs w:val="24"/>
          <w:highlight w:val="white"/>
          <w:rtl w:val="0"/>
        </w:rPr>
        <w:t xml:space="preserve">(2), 196-217.</w:t>
      </w:r>
      <w:r w:rsidDel="00000000" w:rsidR="00000000" w:rsidRPr="00000000">
        <w:rPr>
          <w:rtl w:val="0"/>
        </w:rPr>
      </w:r>
    </w:p>
    <w:p w:rsidR="00000000" w:rsidDel="00000000" w:rsidP="00000000" w:rsidRDefault="00000000" w:rsidRPr="00000000" w14:paraId="00000229">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-Chiu, W., Kim, T., &amp; Cho, H. (2025). Extending the investment model in social commerce: the role of trust in continuance purchase intention. </w:t>
      </w:r>
      <w:r w:rsidDel="00000000" w:rsidR="00000000" w:rsidRPr="00000000">
        <w:rPr>
          <w:rFonts w:ascii="Times New Roman" w:cs="Times New Roman" w:eastAsia="Times New Roman" w:hAnsi="Times New Roman"/>
          <w:i w:val="1"/>
          <w:iCs w:val="1"/>
          <w:sz w:val="24"/>
          <w:szCs w:val="24"/>
          <w:highlight w:val="white"/>
          <w:rtl w:val="0"/>
        </w:rPr>
        <w:t xml:space="preserve">Asia Pacific Journal of Marketing and Logistics</w:t>
      </w:r>
      <w:r w:rsidDel="00000000" w:rsidR="00000000" w:rsidRPr="00000000">
        <w:rPr>
          <w:rFonts w:ascii="Times New Roman" w:cs="Times New Roman" w:eastAsia="Times New Roman" w:hAnsi="Times New Roman"/>
          <w:sz w:val="24"/>
          <w:szCs w:val="24"/>
          <w:highlight w:val="white"/>
          <w:rtl w:val="0"/>
        </w:rPr>
        <w:t xml:space="preserve">, 1-21.</w:t>
      </w:r>
    </w:p>
    <w:p w:rsidR="00000000" w:rsidDel="00000000" w:rsidP="00000000" w:rsidRDefault="00000000" w:rsidRPr="00000000" w14:paraId="0000022A">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-Chiu, W., Cho, H., &amp; Chi, C. G. (2021). Consumers' continuance intention to use fitness and health apps: an integration of the expectation–confirmation model and investment model.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Information Technology &amp; People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34</w:t>
      </w:r>
      <w:r w:rsidDel="00000000" w:rsidR="00000000" w:rsidRPr="00000000">
        <w:rPr>
          <w:rFonts w:ascii="Times New Roman" w:cs="Times New Roman" w:eastAsia="Times New Roman" w:hAnsi="Times New Roman"/>
          <w:color w:val="222222"/>
          <w:sz w:val="24"/>
          <w:szCs w:val="24"/>
          <w:highlight w:val="white"/>
          <w:rtl w:val="0"/>
        </w:rPr>
        <w:t xml:space="preserve">(3), 978-998.</w:t>
      </w:r>
    </w:p>
    <w:p w:rsidR="00000000" w:rsidDel="00000000" w:rsidP="00000000" w:rsidRDefault="00000000" w:rsidRPr="00000000" w14:paraId="0000022B">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-Cohen, J. (1988). </w:t>
      </w:r>
      <w:r w:rsidDel="00000000" w:rsidR="00000000" w:rsidRPr="00000000">
        <w:rPr>
          <w:rFonts w:ascii="Times New Roman" w:cs="Times New Roman" w:eastAsia="Times New Roman" w:hAnsi="Times New Roman"/>
          <w:i w:val="1"/>
          <w:iCs w:val="1"/>
          <w:color w:val="222222"/>
          <w:sz w:val="24"/>
          <w:szCs w:val="24"/>
          <w:highlight w:val="white"/>
          <w:rtl w:val="0"/>
        </w:rPr>
        <w:t xml:space="preserve">Statistical Power Analysis for the Behavioral Sciences</w:t>
      </w:r>
      <w:r w:rsidDel="00000000" w:rsidR="00000000" w:rsidRPr="00000000">
        <w:rPr>
          <w:rFonts w:ascii="Times New Roman" w:cs="Times New Roman" w:eastAsia="Times New Roman" w:hAnsi="Times New Roman"/>
          <w:color w:val="222222"/>
          <w:sz w:val="24"/>
          <w:szCs w:val="24"/>
          <w:highlight w:val="white"/>
          <w:rtl w:val="0"/>
        </w:rPr>
        <w:t xml:space="preserve"> (2nd ed.). Hillsdale, NJ: Lawrence Erlbaum Associates.</w:t>
      </w:r>
    </w:p>
    <w:p w:rsidR="00000000" w:rsidDel="00000000" w:rsidP="00000000" w:rsidRDefault="00000000" w:rsidRPr="00000000" w14:paraId="0000022C">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-Dadouh, A., &amp; Aomari, A. (2020). Moroccan youth’s consumption of TV programs during Ramadan and changes in the digital era. </w:t>
      </w:r>
      <w:r w:rsidDel="00000000" w:rsidR="00000000" w:rsidRPr="00000000">
        <w:rPr>
          <w:rFonts w:ascii="Times New Roman" w:cs="Times New Roman" w:eastAsia="Times New Roman" w:hAnsi="Times New Roman"/>
          <w:i w:val="1"/>
          <w:iCs w:val="1"/>
          <w:color w:val="222222"/>
          <w:sz w:val="24"/>
          <w:szCs w:val="24"/>
          <w:highlight w:val="white"/>
          <w:rtl w:val="0"/>
        </w:rPr>
        <w:t xml:space="preserve">Revue Marocaine de recherche en management et marketing</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12</w:t>
      </w:r>
      <w:r w:rsidDel="00000000" w:rsidR="00000000" w:rsidRPr="00000000">
        <w:rPr>
          <w:rFonts w:ascii="Times New Roman" w:cs="Times New Roman" w:eastAsia="Times New Roman" w:hAnsi="Times New Roman"/>
          <w:color w:val="222222"/>
          <w:sz w:val="24"/>
          <w:szCs w:val="24"/>
          <w:highlight w:val="white"/>
          <w:rtl w:val="0"/>
        </w:rPr>
        <w:t xml:space="preserve">(1), 111-133.</w:t>
      </w:r>
    </w:p>
    <w:p w:rsidR="00000000" w:rsidDel="00000000" w:rsidP="00000000" w:rsidRDefault="00000000" w:rsidRPr="00000000" w14:paraId="0000022D">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-Damásio, M. J., Helen Bengesser, C., Graça, A. R., Primorac, J., Grácio, R., Kauber, S., ... &amp; Kotlinska, M. (2025). Audiences, content diversity, and streaming platforms in small European countries: Engagement, interaction with catalogues, and choice. </w:t>
      </w:r>
      <w:r w:rsidDel="00000000" w:rsidR="00000000" w:rsidRPr="00000000">
        <w:rPr>
          <w:rFonts w:ascii="Times New Roman" w:cs="Times New Roman" w:eastAsia="Times New Roman" w:hAnsi="Times New Roman"/>
          <w:i w:val="1"/>
          <w:iCs w:val="1"/>
          <w:color w:val="222222"/>
          <w:sz w:val="24"/>
          <w:szCs w:val="24"/>
          <w:highlight w:val="white"/>
          <w:rtl w:val="0"/>
        </w:rPr>
        <w:t xml:space="preserve">Convergence</w:t>
      </w:r>
      <w:r w:rsidDel="00000000" w:rsidR="00000000" w:rsidRPr="00000000">
        <w:rPr>
          <w:rFonts w:ascii="Times New Roman" w:cs="Times New Roman" w:eastAsia="Times New Roman" w:hAnsi="Times New Roman"/>
          <w:color w:val="222222"/>
          <w:sz w:val="24"/>
          <w:szCs w:val="24"/>
          <w:highlight w:val="white"/>
          <w:rtl w:val="0"/>
        </w:rPr>
        <w:t xml:space="preserve">, 13548565251361224.</w:t>
      </w:r>
    </w:p>
    <w:p w:rsidR="00000000" w:rsidDel="00000000" w:rsidP="00000000" w:rsidRDefault="00000000" w:rsidRPr="00000000" w14:paraId="0000022E">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-Daw, S., Phaphale, V., Moudgil, A., Choudhary, N., &amp; Khade, A. (2025, June). Unveiling Audience Preferences: A Big Data Analysis of IMDb Movie Ratings and Trends. In </w:t>
      </w:r>
      <w:r w:rsidDel="00000000" w:rsidR="00000000" w:rsidRPr="00000000">
        <w:rPr>
          <w:rFonts w:ascii="Times New Roman" w:cs="Times New Roman" w:eastAsia="Times New Roman" w:hAnsi="Times New Roman"/>
          <w:i w:val="1"/>
          <w:iCs w:val="1"/>
          <w:color w:val="222222"/>
          <w:sz w:val="24"/>
          <w:szCs w:val="24"/>
          <w:highlight w:val="white"/>
          <w:rtl w:val="0"/>
        </w:rPr>
        <w:t xml:space="preserve">2025 6th International Conference on Inventive Research in Computing Applications (ICIRCA)</w:t>
      </w:r>
      <w:r w:rsidDel="00000000" w:rsidR="00000000" w:rsidRPr="00000000">
        <w:rPr>
          <w:rFonts w:ascii="Times New Roman" w:cs="Times New Roman" w:eastAsia="Times New Roman" w:hAnsi="Times New Roman"/>
          <w:color w:val="222222"/>
          <w:sz w:val="24"/>
          <w:szCs w:val="24"/>
          <w:highlight w:val="white"/>
          <w:rtl w:val="0"/>
        </w:rPr>
        <w:t xml:space="preserve"> (pp. 1464-1470). IEEE.</w:t>
      </w:r>
    </w:p>
    <w:p w:rsidR="00000000" w:rsidDel="00000000" w:rsidP="00000000" w:rsidRDefault="00000000" w:rsidRPr="00000000" w14:paraId="0000022F">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-Duffett, R., &amp; Mxunyelwa, A. (2025). Instagram Mega-Influencers’ Effect on Generation Z’s Intention to Purchase: A Technology Acceptance Model and Source Credibility Model Perspective.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Journal of Theoretical and Applied Electronic Commerce Research</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20</w:t>
      </w:r>
      <w:r w:rsidDel="00000000" w:rsidR="00000000" w:rsidRPr="00000000">
        <w:rPr>
          <w:rFonts w:ascii="Times New Roman" w:cs="Times New Roman" w:eastAsia="Times New Roman" w:hAnsi="Times New Roman"/>
          <w:color w:val="222222"/>
          <w:sz w:val="24"/>
          <w:szCs w:val="24"/>
          <w:highlight w:val="white"/>
          <w:rtl w:val="0"/>
        </w:rPr>
        <w:t xml:space="preserve">(2), 94.</w:t>
      </w:r>
    </w:p>
    <w:p w:rsidR="00000000" w:rsidDel="00000000" w:rsidP="00000000" w:rsidRDefault="00000000" w:rsidRPr="00000000" w14:paraId="00000230">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-Elhai, J. D., Yang, H., Fang, J., Bai, X., &amp; Hall, B. J. (2020). Depression and anxiety symptoms are related to problematic smartphone use severity in Chinese young adults: Fear of missing out as a mediator. </w:t>
      </w:r>
      <w:r w:rsidDel="00000000" w:rsidR="00000000" w:rsidRPr="00000000">
        <w:rPr>
          <w:rFonts w:ascii="Times New Roman" w:cs="Times New Roman" w:eastAsia="Times New Roman" w:hAnsi="Times New Roman"/>
          <w:i w:val="1"/>
          <w:iCs w:val="1"/>
          <w:color w:val="222222"/>
          <w:sz w:val="24"/>
          <w:szCs w:val="24"/>
          <w:highlight w:val="white"/>
          <w:rtl w:val="0"/>
        </w:rPr>
        <w:t xml:space="preserve">Addictive behaviors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101</w:t>
      </w:r>
      <w:r w:rsidDel="00000000" w:rsidR="00000000" w:rsidRPr="00000000">
        <w:rPr>
          <w:rFonts w:ascii="Times New Roman" w:cs="Times New Roman" w:eastAsia="Times New Roman" w:hAnsi="Times New Roman"/>
          <w:color w:val="222222"/>
          <w:sz w:val="24"/>
          <w:szCs w:val="24"/>
          <w:highlight w:val="white"/>
          <w:rtl w:val="0"/>
        </w:rPr>
        <w:t xml:space="preserve">, 105962.</w:t>
      </w:r>
    </w:p>
    <w:p w:rsidR="00000000" w:rsidDel="00000000" w:rsidP="00000000" w:rsidRDefault="00000000" w:rsidRPr="00000000" w14:paraId="00000231">
      <w:pPr>
        <w:spacing w:after="240" w:before="240"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-Elkatmış, M. (2024). Examination of social media usage habits of generation Z. </w:t>
      </w:r>
      <w:r w:rsidDel="00000000" w:rsidR="00000000" w:rsidRPr="00000000">
        <w:rPr>
          <w:rFonts w:ascii="Times New Roman" w:cs="Times New Roman" w:eastAsia="Times New Roman" w:hAnsi="Times New Roman"/>
          <w:i w:val="1"/>
          <w:iCs w:val="1"/>
          <w:color w:val="222222"/>
          <w:sz w:val="24"/>
          <w:szCs w:val="24"/>
          <w:highlight w:val="white"/>
          <w:rtl w:val="0"/>
        </w:rPr>
        <w:t xml:space="preserve">Frontiers in psychology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15</w:t>
      </w:r>
      <w:r w:rsidDel="00000000" w:rsidR="00000000" w:rsidRPr="00000000">
        <w:rPr>
          <w:rFonts w:ascii="Times New Roman" w:cs="Times New Roman" w:eastAsia="Times New Roman" w:hAnsi="Times New Roman"/>
          <w:color w:val="222222"/>
          <w:sz w:val="24"/>
          <w:szCs w:val="24"/>
          <w:highlight w:val="white"/>
          <w:rtl w:val="0"/>
        </w:rPr>
        <w:t xml:space="preserve">, 1370823.</w:t>
      </w:r>
    </w:p>
    <w:p w:rsidR="00000000" w:rsidDel="00000000" w:rsidP="00000000" w:rsidRDefault="00000000" w:rsidRPr="00000000" w14:paraId="00000232">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-Fei, X., Huang, Y., &amp; Huang, Q. (2021). Research on scale development of consumption rituals. </w:t>
      </w:r>
      <w:r w:rsidDel="00000000" w:rsidR="00000000" w:rsidRPr="00000000">
        <w:rPr>
          <w:rFonts w:ascii="Times New Roman" w:cs="Times New Roman" w:eastAsia="Times New Roman" w:hAnsi="Times New Roman"/>
          <w:i w:val="1"/>
          <w:iCs w:val="1"/>
          <w:sz w:val="24"/>
          <w:szCs w:val="24"/>
          <w:highlight w:val="white"/>
          <w:rtl w:val="0"/>
        </w:rPr>
        <w:t xml:space="preserve">Journal of Contemporary Marketing Science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4</w:t>
      </w:r>
      <w:r w:rsidDel="00000000" w:rsidR="00000000" w:rsidRPr="00000000">
        <w:rPr>
          <w:rFonts w:ascii="Times New Roman" w:cs="Times New Roman" w:eastAsia="Times New Roman" w:hAnsi="Times New Roman"/>
          <w:sz w:val="24"/>
          <w:szCs w:val="24"/>
          <w:highlight w:val="white"/>
          <w:rtl w:val="0"/>
        </w:rPr>
        <w:t xml:space="preserve">(1), 132-160.</w:t>
      </w:r>
    </w:p>
    <w:p w:rsidR="00000000" w:rsidDel="00000000" w:rsidP="00000000" w:rsidRDefault="00000000" w:rsidRPr="00000000" w14:paraId="00000233">
      <w:pPr>
        <w:spacing w:after="240" w:before="240"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-Fiese, B. H. (2006). </w:t>
      </w:r>
      <w:r w:rsidDel="00000000" w:rsidR="00000000" w:rsidRPr="00000000">
        <w:rPr>
          <w:rFonts w:ascii="Times New Roman" w:cs="Times New Roman" w:eastAsia="Times New Roman" w:hAnsi="Times New Roman"/>
          <w:i w:val="1"/>
          <w:iCs w:val="1"/>
          <w:sz w:val="24"/>
          <w:szCs w:val="24"/>
          <w:highlight w:val="white"/>
          <w:rtl w:val="0"/>
        </w:rPr>
        <w:t xml:space="preserve">Family routines and rituals</w:t>
      </w:r>
      <w:r w:rsidDel="00000000" w:rsidR="00000000" w:rsidRPr="00000000">
        <w:rPr>
          <w:rFonts w:ascii="Times New Roman" w:cs="Times New Roman" w:eastAsia="Times New Roman" w:hAnsi="Times New Roman"/>
          <w:sz w:val="24"/>
          <w:szCs w:val="24"/>
          <w:highlight w:val="white"/>
          <w:rtl w:val="0"/>
        </w:rPr>
        <w:t xml:space="preserve">. Yale University Press.</w:t>
      </w:r>
    </w:p>
    <w:p w:rsidR="00000000" w:rsidDel="00000000" w:rsidP="00000000" w:rsidRDefault="00000000" w:rsidRPr="00000000" w14:paraId="0000023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-Fornell, C., &amp; Larcker, D. F. (1981). </w:t>
      </w:r>
      <w:r w:rsidDel="00000000" w:rsidR="00000000" w:rsidRPr="00000000">
        <w:rPr>
          <w:rFonts w:ascii="Times New Roman" w:cs="Times New Roman" w:eastAsia="Times New Roman" w:hAnsi="Times New Roman"/>
          <w:i w:val="1"/>
          <w:iCs w:val="1"/>
          <w:sz w:val="24"/>
          <w:szCs w:val="24"/>
          <w:rtl w:val="0"/>
        </w:rPr>
        <w:t xml:space="preserve">Evaluating structural equation models with unobservable variables and measurement error</w:t>
      </w:r>
      <w:r w:rsidDel="00000000" w:rsidR="00000000" w:rsidRPr="00000000">
        <w:rPr>
          <w:rFonts w:ascii="Times New Roman" w:cs="Times New Roman" w:eastAsia="Times New Roman" w:hAnsi="Times New Roman"/>
          <w:sz w:val="24"/>
          <w:szCs w:val="24"/>
          <w:rtl w:val="0"/>
        </w:rPr>
        <w:t xml:space="preserve">. Journal of Marketing Research, 18(1), 39–50.</w:t>
      </w:r>
    </w:p>
    <w:p w:rsidR="00000000" w:rsidDel="00000000" w:rsidP="00000000" w:rsidRDefault="00000000" w:rsidRPr="00000000" w14:paraId="000002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-Flanagan, S (2018). “Streaming Services, Binging, and Cultural Consequences.” Advanced Writing: Pop Culture Intersections. 26, : 1-17. </w:t>
      </w:r>
    </w:p>
    <w:p w:rsidR="00000000" w:rsidDel="00000000" w:rsidP="00000000" w:rsidRDefault="00000000" w:rsidRPr="00000000" w14:paraId="000002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-Garcia-Rada, X., Anik, L., &amp; Ariely, D. (2019). Consuming together (versus separately) makes the heart grow fonder. Marketing Letters, 30(1), 27–43</w:t>
      </w:r>
    </w:p>
    <w:p w:rsidR="00000000" w:rsidDel="00000000" w:rsidP="00000000" w:rsidRDefault="00000000" w:rsidRPr="00000000" w14:paraId="000002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Giovanis, A. (2016). Consumer-brand relationships’ development in the mobile internet market: evidence from an extended relationship commitment paradigm. </w:t>
      </w:r>
      <w:r w:rsidDel="00000000" w:rsidR="00000000" w:rsidRPr="00000000">
        <w:rPr>
          <w:rFonts w:ascii="Times New Roman" w:cs="Times New Roman" w:eastAsia="Times New Roman" w:hAnsi="Times New Roman"/>
          <w:i w:val="1"/>
          <w:iCs w:val="1"/>
          <w:sz w:val="24"/>
          <w:szCs w:val="24"/>
          <w:highlight w:val="white"/>
          <w:rtl w:val="0"/>
        </w:rPr>
        <w:t xml:space="preserve">Journal of Product &amp; Brand Management</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25</w:t>
      </w:r>
      <w:r w:rsidDel="00000000" w:rsidR="00000000" w:rsidRPr="00000000">
        <w:rPr>
          <w:rFonts w:ascii="Times New Roman" w:cs="Times New Roman" w:eastAsia="Times New Roman" w:hAnsi="Times New Roman"/>
          <w:sz w:val="24"/>
          <w:szCs w:val="24"/>
          <w:highlight w:val="white"/>
          <w:rtl w:val="0"/>
        </w:rPr>
        <w:t xml:space="preserve">(6), 568-585.</w:t>
      </w:r>
      <w:r w:rsidDel="00000000" w:rsidR="00000000" w:rsidRPr="00000000">
        <w:rPr>
          <w:rtl w:val="0"/>
        </w:rPr>
      </w:r>
    </w:p>
    <w:p w:rsidR="00000000" w:rsidDel="00000000" w:rsidP="00000000" w:rsidRDefault="00000000" w:rsidRPr="00000000" w14:paraId="0000023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-Hair, J. F., Black, W. C., Babin, B. J., &amp; Anderson, R. E. (2019). </w:t>
      </w:r>
      <w:r w:rsidDel="00000000" w:rsidR="00000000" w:rsidRPr="00000000">
        <w:rPr>
          <w:rFonts w:ascii="Times New Roman" w:cs="Times New Roman" w:eastAsia="Times New Roman" w:hAnsi="Times New Roman"/>
          <w:i w:val="1"/>
          <w:iCs w:val="1"/>
          <w:sz w:val="24"/>
          <w:szCs w:val="24"/>
          <w:rtl w:val="0"/>
        </w:rPr>
        <w:t xml:space="preserve">Multivariate data analysis</w:t>
      </w:r>
      <w:r w:rsidDel="00000000" w:rsidR="00000000" w:rsidRPr="00000000">
        <w:rPr>
          <w:rFonts w:ascii="Times New Roman" w:cs="Times New Roman" w:eastAsia="Times New Roman" w:hAnsi="Times New Roman"/>
          <w:sz w:val="24"/>
          <w:szCs w:val="24"/>
          <w:rtl w:val="0"/>
        </w:rPr>
        <w:t xml:space="preserve"> (8th ed.). Cengage Learning.</w:t>
      </w:r>
    </w:p>
    <w:p w:rsidR="00000000" w:rsidDel="00000000" w:rsidP="00000000" w:rsidRDefault="00000000" w:rsidRPr="00000000" w14:paraId="0000023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-Hair, J.F., Black, W.C., Babin, B.J. and Anderson, R.E. (2010), Multivariate Data Analysis, Prentice-Hall, Englewood Cliffs, NJ.</w:t>
      </w:r>
    </w:p>
    <w:p w:rsidR="00000000" w:rsidDel="00000000" w:rsidP="00000000" w:rsidRDefault="00000000" w:rsidRPr="00000000" w14:paraId="0000023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-Henseler, J., Ringle, C. M., &amp; Sarstedt, M. (2015). </w:t>
      </w:r>
      <w:r w:rsidDel="00000000" w:rsidR="00000000" w:rsidRPr="00000000">
        <w:rPr>
          <w:rFonts w:ascii="Times New Roman" w:cs="Times New Roman" w:eastAsia="Times New Roman" w:hAnsi="Times New Roman"/>
          <w:i w:val="1"/>
          <w:iCs w:val="1"/>
          <w:sz w:val="24"/>
          <w:szCs w:val="24"/>
          <w:rtl w:val="0"/>
        </w:rPr>
        <w:t xml:space="preserve">A new criterion for assessing discriminant validity in variance-based structural equation modeling</w:t>
      </w:r>
      <w:r w:rsidDel="00000000" w:rsidR="00000000" w:rsidRPr="00000000">
        <w:rPr>
          <w:rFonts w:ascii="Times New Roman" w:cs="Times New Roman" w:eastAsia="Times New Roman" w:hAnsi="Times New Roman"/>
          <w:sz w:val="24"/>
          <w:szCs w:val="24"/>
          <w:rtl w:val="0"/>
        </w:rPr>
        <w:t xml:space="preserve">. Journal of the Academy of Marketing Science, 43(1), 115–135.</w:t>
      </w:r>
    </w:p>
    <w:p w:rsidR="00000000" w:rsidDel="00000000" w:rsidP="00000000" w:rsidRDefault="00000000" w:rsidRPr="00000000" w14:paraId="0000023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 L.T. and Bentler, P.M. (1999), “Cutoff criteria for fit indexes in covariance structure analysis: conventional criteria versus new alternatives”, Structural Equation Modeling: A Multidisciplinary Journal, Vol. 6 No. 1, pp. 1-55.</w:t>
      </w:r>
    </w:p>
    <w:p w:rsidR="00000000" w:rsidDel="00000000" w:rsidP="00000000" w:rsidRDefault="00000000" w:rsidRPr="00000000" w14:paraId="0000023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Ishaque, M. (2025). Islamic Family Ethics: A Pathway to Strengthening Social Harmony in The Modern Era. </w:t>
      </w:r>
      <w:r w:rsidDel="00000000" w:rsidR="00000000" w:rsidRPr="00000000">
        <w:rPr>
          <w:rFonts w:ascii="Times New Roman" w:cs="Times New Roman" w:eastAsia="Times New Roman" w:hAnsi="Times New Roman"/>
          <w:i w:val="1"/>
          <w:iCs w:val="1"/>
          <w:color w:val="222222"/>
          <w:sz w:val="24"/>
          <w:szCs w:val="24"/>
          <w:highlight w:val="white"/>
          <w:rtl w:val="0"/>
        </w:rPr>
        <w:t xml:space="preserve">Solo International Collaboration and Publication of Social Sciences and Humanities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3</w:t>
      </w:r>
      <w:r w:rsidDel="00000000" w:rsidR="00000000" w:rsidRPr="00000000">
        <w:rPr>
          <w:rFonts w:ascii="Times New Roman" w:cs="Times New Roman" w:eastAsia="Times New Roman" w:hAnsi="Times New Roman"/>
          <w:color w:val="222222"/>
          <w:sz w:val="24"/>
          <w:szCs w:val="24"/>
          <w:highlight w:val="white"/>
          <w:rtl w:val="0"/>
        </w:rPr>
        <w:t xml:space="preserve">(02), 247-258.</w:t>
      </w:r>
      <w:r w:rsidDel="00000000" w:rsidR="00000000" w:rsidRPr="00000000">
        <w:rPr>
          <w:rtl w:val="0"/>
        </w:rPr>
      </w:r>
    </w:p>
    <w:p w:rsidR="00000000" w:rsidDel="00000000" w:rsidP="00000000" w:rsidRDefault="00000000" w:rsidRPr="00000000" w14:paraId="0000023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-Izenstark, D., &amp; Ebata, A. T. (2022). Why families go outside: An exploration of mothers’ and daughters’ family-based nature activities. Leisure Sciences, 44(5), 559–577.</w:t>
      </w:r>
    </w:p>
    <w:p w:rsidR="00000000" w:rsidDel="00000000" w:rsidP="00000000" w:rsidRDefault="00000000" w:rsidRPr="00000000" w14:paraId="0000023E">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Jodén, H., &amp; Strandell, J. (2022). Building viewer engagement through interaction rituals on Twitch. tv.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Information, Communication &amp; Society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25</w:t>
      </w:r>
      <w:r w:rsidDel="00000000" w:rsidR="00000000" w:rsidRPr="00000000">
        <w:rPr>
          <w:rFonts w:ascii="Times New Roman" w:cs="Times New Roman" w:eastAsia="Times New Roman" w:hAnsi="Times New Roman"/>
          <w:color w:val="222222"/>
          <w:sz w:val="24"/>
          <w:szCs w:val="24"/>
          <w:highlight w:val="white"/>
          <w:rtl w:val="0"/>
        </w:rPr>
        <w:t xml:space="preserve">(13), 1969-1986.</w:t>
      </w:r>
    </w:p>
    <w:p w:rsidR="00000000" w:rsidDel="00000000" w:rsidP="00000000" w:rsidRDefault="00000000" w:rsidRPr="00000000" w14:paraId="0000023F">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-Karl, J. A., &amp; Fischer, R. (2018). Rituals, repetitiveness and cognitive load: A competitive test of ritual benefits for stress. </w:t>
      </w:r>
      <w:r w:rsidDel="00000000" w:rsidR="00000000" w:rsidRPr="00000000">
        <w:rPr>
          <w:rFonts w:ascii="Times New Roman" w:cs="Times New Roman" w:eastAsia="Times New Roman" w:hAnsi="Times New Roman"/>
          <w:i w:val="1"/>
          <w:iCs w:val="1"/>
          <w:color w:val="222222"/>
          <w:sz w:val="24"/>
          <w:szCs w:val="24"/>
          <w:highlight w:val="white"/>
          <w:rtl w:val="0"/>
        </w:rPr>
        <w:t xml:space="preserve">Human Nature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29</w:t>
      </w:r>
      <w:r w:rsidDel="00000000" w:rsidR="00000000" w:rsidRPr="00000000">
        <w:rPr>
          <w:rFonts w:ascii="Times New Roman" w:cs="Times New Roman" w:eastAsia="Times New Roman" w:hAnsi="Times New Roman"/>
          <w:color w:val="222222"/>
          <w:sz w:val="24"/>
          <w:szCs w:val="24"/>
          <w:highlight w:val="white"/>
          <w:rtl w:val="0"/>
        </w:rPr>
        <w:t xml:space="preserve">(4), 418-441.</w:t>
      </w:r>
    </w:p>
    <w:p w:rsidR="00000000" w:rsidDel="00000000" w:rsidP="00000000" w:rsidRDefault="00000000" w:rsidRPr="00000000" w14:paraId="0000024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Kaur, M. H., &amp; Ashfaq, D. R. (2023). The impact of Netflix on viewer behaviour and media consumption: An exploration of the effects of streaming services on audience engagement and entertainment preferences. </w:t>
      </w:r>
      <w:r w:rsidDel="00000000" w:rsidR="00000000" w:rsidRPr="00000000">
        <w:rPr>
          <w:rFonts w:ascii="Times New Roman" w:cs="Times New Roman" w:eastAsia="Times New Roman" w:hAnsi="Times New Roman"/>
          <w:i w:val="1"/>
          <w:iCs w:val="1"/>
          <w:sz w:val="24"/>
          <w:szCs w:val="24"/>
          <w:highlight w:val="white"/>
          <w:rtl w:val="0"/>
        </w:rPr>
        <w:t xml:space="preserve">Journal of Media, Culture and Communication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3</w:t>
      </w:r>
      <w:r w:rsidDel="00000000" w:rsidR="00000000" w:rsidRPr="00000000">
        <w:rPr>
          <w:rFonts w:ascii="Times New Roman" w:cs="Times New Roman" w:eastAsia="Times New Roman" w:hAnsi="Times New Roman"/>
          <w:sz w:val="24"/>
          <w:szCs w:val="24"/>
          <w:highlight w:val="white"/>
          <w:rtl w:val="0"/>
        </w:rPr>
        <w:t xml:space="preserve">(4), 9-23.</w:t>
      </w:r>
      <w:r w:rsidDel="00000000" w:rsidR="00000000" w:rsidRPr="00000000">
        <w:rPr>
          <w:rtl w:val="0"/>
        </w:rPr>
      </w:r>
    </w:p>
    <w:p w:rsidR="00000000" w:rsidDel="00000000" w:rsidP="00000000" w:rsidRDefault="00000000" w:rsidRPr="00000000" w14:paraId="000002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Khanna, P., Sehgal, R., Gupta, A., Dubey, A. M., &amp; Srivastava, R. (2025). “Over-the-top (OTT) platforms: a review, synthesis and research directions” </w:t>
      </w:r>
      <w:r w:rsidDel="00000000" w:rsidR="00000000" w:rsidRPr="00000000">
        <w:rPr>
          <w:rFonts w:ascii="Times New Roman" w:cs="Times New Roman" w:eastAsia="Times New Roman" w:hAnsi="Times New Roman"/>
          <w:i w:val="1"/>
          <w:iCs w:val="1"/>
          <w:sz w:val="24"/>
          <w:szCs w:val="24"/>
          <w:highlight w:val="white"/>
          <w:rtl w:val="0"/>
        </w:rPr>
        <w:t xml:space="preserve">Marketing Intelligence &amp; Planning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43</w:t>
      </w:r>
      <w:r w:rsidDel="00000000" w:rsidR="00000000" w:rsidRPr="00000000">
        <w:rPr>
          <w:rFonts w:ascii="Times New Roman" w:cs="Times New Roman" w:eastAsia="Times New Roman" w:hAnsi="Times New Roman"/>
          <w:sz w:val="24"/>
          <w:szCs w:val="24"/>
          <w:highlight w:val="white"/>
          <w:rtl w:val="0"/>
        </w:rPr>
        <w:t xml:space="preserve">(2), 323-348.</w:t>
      </w:r>
      <w:r w:rsidDel="00000000" w:rsidR="00000000" w:rsidRPr="00000000">
        <w:rPr>
          <w:rtl w:val="0"/>
        </w:rPr>
      </w:r>
    </w:p>
    <w:p w:rsidR="00000000" w:rsidDel="00000000" w:rsidP="00000000" w:rsidRDefault="00000000" w:rsidRPr="00000000" w14:paraId="00000242">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-Kim, M., &amp; Baek, T. H. (2022). I’ll follow the fun: The extended investment model of social media influencers. </w:t>
      </w:r>
      <w:r w:rsidDel="00000000" w:rsidR="00000000" w:rsidRPr="00000000">
        <w:rPr>
          <w:rFonts w:ascii="Times New Roman" w:cs="Times New Roman" w:eastAsia="Times New Roman" w:hAnsi="Times New Roman"/>
          <w:i w:val="1"/>
          <w:iCs w:val="1"/>
          <w:sz w:val="24"/>
          <w:szCs w:val="24"/>
          <w:highlight w:val="white"/>
          <w:rtl w:val="0"/>
        </w:rPr>
        <w:t xml:space="preserve">Telematics and Informatics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74</w:t>
      </w:r>
      <w:r w:rsidDel="00000000" w:rsidR="00000000" w:rsidRPr="00000000">
        <w:rPr>
          <w:rFonts w:ascii="Times New Roman" w:cs="Times New Roman" w:eastAsia="Times New Roman" w:hAnsi="Times New Roman"/>
          <w:sz w:val="24"/>
          <w:szCs w:val="24"/>
          <w:highlight w:val="white"/>
          <w:rtl w:val="0"/>
        </w:rPr>
        <w:t xml:space="preserve">, 101881.</w:t>
      </w:r>
    </w:p>
    <w:p w:rsidR="00000000" w:rsidDel="00000000" w:rsidP="00000000" w:rsidRDefault="00000000" w:rsidRPr="00000000" w14:paraId="00000243">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-Kim, Y., Oyunbold, B., &amp; Roh, T. (2024). Capturing OTT users in an emerging market: Insights on quality of OTT service and behavioral intentions through extended technology acceptance model. </w:t>
      </w:r>
      <w:r w:rsidDel="00000000" w:rsidR="00000000" w:rsidRPr="00000000">
        <w:rPr>
          <w:rFonts w:ascii="Times New Roman" w:cs="Times New Roman" w:eastAsia="Times New Roman" w:hAnsi="Times New Roman"/>
          <w:i w:val="1"/>
          <w:iCs w:val="1"/>
          <w:sz w:val="24"/>
          <w:szCs w:val="24"/>
          <w:highlight w:val="white"/>
          <w:rtl w:val="0"/>
        </w:rPr>
        <w:t xml:space="preserve">Journal of Retailing and Consumer Services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81</w:t>
      </w:r>
      <w:r w:rsidDel="00000000" w:rsidR="00000000" w:rsidRPr="00000000">
        <w:rPr>
          <w:rFonts w:ascii="Times New Roman" w:cs="Times New Roman" w:eastAsia="Times New Roman" w:hAnsi="Times New Roman"/>
          <w:sz w:val="24"/>
          <w:szCs w:val="24"/>
          <w:highlight w:val="white"/>
          <w:rtl w:val="0"/>
        </w:rPr>
        <w:t xml:space="preserve">, 103953.</w:t>
      </w:r>
    </w:p>
    <w:p w:rsidR="00000000" w:rsidDel="00000000" w:rsidP="00000000" w:rsidRDefault="00000000" w:rsidRPr="00000000" w14:paraId="00000244">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Kim, Y., Dhammasaccakarn, W., Laeheem, K., &amp; Rinthaisong, I. (2024). The impact of family functioning factors on smartphone addiction and phubbing among muslim adolescents in Thailand. </w:t>
      </w:r>
      <w:r w:rsidDel="00000000" w:rsidR="00000000" w:rsidRPr="00000000">
        <w:rPr>
          <w:rFonts w:ascii="Times New Roman" w:cs="Times New Roman" w:eastAsia="Times New Roman" w:hAnsi="Times New Roman"/>
          <w:i w:val="1"/>
          <w:iCs w:val="1"/>
          <w:color w:val="222222"/>
          <w:sz w:val="24"/>
          <w:szCs w:val="24"/>
          <w:highlight w:val="white"/>
          <w:rtl w:val="0"/>
        </w:rPr>
        <w:t xml:space="preserve">Children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11</w:t>
      </w:r>
      <w:r w:rsidDel="00000000" w:rsidR="00000000" w:rsidRPr="00000000">
        <w:rPr>
          <w:rFonts w:ascii="Times New Roman" w:cs="Times New Roman" w:eastAsia="Times New Roman" w:hAnsi="Times New Roman"/>
          <w:color w:val="222222"/>
          <w:sz w:val="24"/>
          <w:szCs w:val="24"/>
          <w:highlight w:val="white"/>
          <w:rtl w:val="0"/>
        </w:rPr>
        <w:t xml:space="preserve">(5), 522.</w:t>
      </w:r>
      <w:r w:rsidDel="00000000" w:rsidR="00000000" w:rsidRPr="00000000">
        <w:rPr>
          <w:rtl w:val="0"/>
        </w:rPr>
      </w:r>
    </w:p>
    <w:p w:rsidR="00000000" w:rsidDel="00000000" w:rsidP="00000000" w:rsidRDefault="00000000" w:rsidRPr="00000000" w14:paraId="00000245">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-Lakens, D. (2013). Calculating and reporting effect sizes to facilitate cumulative science: a practical primer for t-tests and ANOVAs. </w:t>
      </w:r>
      <w:r w:rsidDel="00000000" w:rsidR="00000000" w:rsidRPr="00000000">
        <w:rPr>
          <w:rFonts w:ascii="Times New Roman" w:cs="Times New Roman" w:eastAsia="Times New Roman" w:hAnsi="Times New Roman"/>
          <w:i w:val="1"/>
          <w:iCs w:val="1"/>
          <w:sz w:val="24"/>
          <w:szCs w:val="24"/>
          <w:highlight w:val="white"/>
          <w:rtl w:val="0"/>
        </w:rPr>
        <w:t xml:space="preserve">Frontiers in psychology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4</w:t>
      </w:r>
      <w:r w:rsidDel="00000000" w:rsidR="00000000" w:rsidRPr="00000000">
        <w:rPr>
          <w:rFonts w:ascii="Times New Roman" w:cs="Times New Roman" w:eastAsia="Times New Roman" w:hAnsi="Times New Roman"/>
          <w:sz w:val="24"/>
          <w:szCs w:val="24"/>
          <w:highlight w:val="white"/>
          <w:rtl w:val="0"/>
        </w:rPr>
        <w:t xml:space="preserve">, 863.</w:t>
      </w:r>
    </w:p>
    <w:p w:rsidR="00000000" w:rsidDel="00000000" w:rsidP="00000000" w:rsidRDefault="00000000" w:rsidRPr="00000000" w14:paraId="00000246">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-Liu, M. W., Zhu, Q., &amp; Wang, X. (2022). Building consumer connection with new brands through rituals: the role of mindfulness. </w:t>
      </w:r>
      <w:r w:rsidDel="00000000" w:rsidR="00000000" w:rsidRPr="00000000">
        <w:rPr>
          <w:rFonts w:ascii="Times New Roman" w:cs="Times New Roman" w:eastAsia="Times New Roman" w:hAnsi="Times New Roman"/>
          <w:i w:val="1"/>
          <w:iCs w:val="1"/>
          <w:sz w:val="24"/>
          <w:szCs w:val="24"/>
          <w:highlight w:val="white"/>
          <w:rtl w:val="0"/>
        </w:rPr>
        <w:t xml:space="preserve">Marketing Letters</w:t>
      </w:r>
      <w:r w:rsidDel="00000000" w:rsidR="00000000" w:rsidRPr="00000000">
        <w:rPr>
          <w:rFonts w:ascii="Times New Roman" w:cs="Times New Roman" w:eastAsia="Times New Roman" w:hAnsi="Times New Roman"/>
          <w:sz w:val="24"/>
          <w:szCs w:val="24"/>
          <w:highlight w:val="white"/>
          <w:rtl w:val="0"/>
        </w:rPr>
        <w:t xml:space="preserve">, 1-14.</w:t>
      </w:r>
    </w:p>
    <w:p w:rsidR="00000000" w:rsidDel="00000000" w:rsidP="00000000" w:rsidRDefault="00000000" w:rsidRPr="00000000" w14:paraId="00000247">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Lobato, R. (2019). </w:t>
      </w:r>
      <w:r w:rsidDel="00000000" w:rsidR="00000000" w:rsidRPr="00000000">
        <w:rPr>
          <w:rFonts w:ascii="Times New Roman" w:cs="Times New Roman" w:eastAsia="Times New Roman" w:hAnsi="Times New Roman"/>
          <w:i w:val="1"/>
          <w:iCs w:val="1"/>
          <w:color w:val="222222"/>
          <w:sz w:val="24"/>
          <w:szCs w:val="24"/>
          <w:highlight w:val="white"/>
          <w:rtl w:val="0"/>
        </w:rPr>
        <w:t xml:space="preserve">Netflix nations: The geography of digital distribution</w:t>
      </w:r>
      <w:r w:rsidDel="00000000" w:rsidR="00000000" w:rsidRPr="00000000">
        <w:rPr>
          <w:rFonts w:ascii="Times New Roman" w:cs="Times New Roman" w:eastAsia="Times New Roman" w:hAnsi="Times New Roman"/>
          <w:color w:val="222222"/>
          <w:sz w:val="24"/>
          <w:szCs w:val="24"/>
          <w:highlight w:val="white"/>
          <w:rtl w:val="0"/>
        </w:rPr>
        <w:t xml:space="preserve">. New York University Press.</w:t>
      </w:r>
      <w:r w:rsidDel="00000000" w:rsidR="00000000" w:rsidRPr="00000000">
        <w:rPr>
          <w:rtl w:val="0"/>
        </w:rPr>
      </w:r>
    </w:p>
    <w:p w:rsidR="00000000" w:rsidDel="00000000" w:rsidP="00000000" w:rsidRDefault="00000000" w:rsidRPr="00000000" w14:paraId="00000248">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Lüders, M. (2022). Self-determined or controlled, seeking pleasure, or meaning? Identifying what makes viewers enjoy watching television on streaming services. </w:t>
      </w:r>
      <w:r w:rsidDel="00000000" w:rsidR="00000000" w:rsidRPr="00000000">
        <w:rPr>
          <w:rFonts w:ascii="Times New Roman" w:cs="Times New Roman" w:eastAsia="Times New Roman" w:hAnsi="Times New Roman"/>
          <w:i w:val="1"/>
          <w:iCs w:val="1"/>
          <w:color w:val="222222"/>
          <w:sz w:val="24"/>
          <w:szCs w:val="24"/>
          <w:highlight w:val="white"/>
          <w:rtl w:val="0"/>
        </w:rPr>
        <w:t xml:space="preserve">Poetics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92</w:t>
      </w:r>
      <w:r w:rsidDel="00000000" w:rsidR="00000000" w:rsidRPr="00000000">
        <w:rPr>
          <w:rFonts w:ascii="Times New Roman" w:cs="Times New Roman" w:eastAsia="Times New Roman" w:hAnsi="Times New Roman"/>
          <w:color w:val="222222"/>
          <w:sz w:val="24"/>
          <w:szCs w:val="24"/>
          <w:highlight w:val="white"/>
          <w:rtl w:val="0"/>
        </w:rPr>
        <w:t xml:space="preserve">, 101639.</w:t>
      </w:r>
      <w:r w:rsidDel="00000000" w:rsidR="00000000" w:rsidRPr="00000000">
        <w:rPr>
          <w:rtl w:val="0"/>
        </w:rPr>
      </w:r>
    </w:p>
    <w:p w:rsidR="00000000" w:rsidDel="00000000" w:rsidP="00000000" w:rsidRDefault="00000000" w:rsidRPr="00000000" w14:paraId="00000249">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Matbouly, M. Y. (2024). Watching Ramadan drama and Egyptian people preference for video streaming services over traditional television: A Survey Study". </w:t>
      </w:r>
      <w:r w:rsidDel="00000000" w:rsidR="00000000" w:rsidRPr="00000000">
        <w:rPr>
          <w:rFonts w:ascii="Times New Roman" w:cs="Times New Roman" w:eastAsia="Times New Roman" w:hAnsi="Times New Roman"/>
          <w:i w:val="1"/>
          <w:iCs w:val="1"/>
          <w:color w:val="222222"/>
          <w:sz w:val="24"/>
          <w:szCs w:val="24"/>
          <w:highlight w:val="white"/>
          <w:rtl w:val="0"/>
        </w:rPr>
        <w:t xml:space="preserve">e-Journal of Media and Society (e-JOMS)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7</w:t>
      </w:r>
      <w:r w:rsidDel="00000000" w:rsidR="00000000" w:rsidRPr="00000000">
        <w:rPr>
          <w:rFonts w:ascii="Times New Roman" w:cs="Times New Roman" w:eastAsia="Times New Roman" w:hAnsi="Times New Roman"/>
          <w:color w:val="222222"/>
          <w:sz w:val="24"/>
          <w:szCs w:val="24"/>
          <w:highlight w:val="white"/>
          <w:rtl w:val="0"/>
        </w:rPr>
        <w:t xml:space="preserve">(3), 1-22.</w:t>
      </w:r>
      <w:r w:rsidDel="00000000" w:rsidR="00000000" w:rsidRPr="00000000">
        <w:rPr>
          <w:rtl w:val="0"/>
        </w:rPr>
      </w:r>
    </w:p>
    <w:p w:rsidR="00000000" w:rsidDel="00000000" w:rsidP="00000000" w:rsidRDefault="00000000" w:rsidRPr="00000000" w14:paraId="0000024A">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Mangialavori, S., Russo, C., Jimeno, M. V., Ricarte, J. J., D’Urso, G., Barni, D., &amp; Cacioppo, M. (2021). Insecure attachment styles and unbalanced family functioning as risk factors of problematic smartphone use in Spanish young adults: A relative weight analysis. </w:t>
      </w:r>
      <w:r w:rsidDel="00000000" w:rsidR="00000000" w:rsidRPr="00000000">
        <w:rPr>
          <w:rFonts w:ascii="Times New Roman" w:cs="Times New Roman" w:eastAsia="Times New Roman" w:hAnsi="Times New Roman"/>
          <w:i w:val="1"/>
          <w:iCs w:val="1"/>
          <w:color w:val="222222"/>
          <w:sz w:val="24"/>
          <w:szCs w:val="24"/>
          <w:highlight w:val="white"/>
          <w:rtl w:val="0"/>
        </w:rPr>
        <w:t xml:space="preserve">European Journal of Investigation in Health, Psychology and Education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11</w:t>
      </w:r>
      <w:r w:rsidDel="00000000" w:rsidR="00000000" w:rsidRPr="00000000">
        <w:rPr>
          <w:rFonts w:ascii="Times New Roman" w:cs="Times New Roman" w:eastAsia="Times New Roman" w:hAnsi="Times New Roman"/>
          <w:color w:val="222222"/>
          <w:sz w:val="24"/>
          <w:szCs w:val="24"/>
          <w:highlight w:val="white"/>
          <w:rtl w:val="0"/>
        </w:rPr>
        <w:t xml:space="preserve">(3), 1011-1021.</w:t>
      </w:r>
    </w:p>
    <w:p w:rsidR="00000000" w:rsidDel="00000000" w:rsidP="00000000" w:rsidRDefault="00000000" w:rsidRPr="00000000" w14:paraId="0000024B">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Menon.D (2002), “Purchase and continuation intentions of over-the-top (OTT) video streaming platform subscriptions: a uses and gratification theory perspective,</w:t>
      </w:r>
    </w:p>
    <w:p w:rsidR="00000000" w:rsidDel="00000000" w:rsidP="00000000" w:rsidRDefault="00000000" w:rsidRPr="00000000" w14:paraId="0000024C">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Telematics and Informatics Reports, Volume 5.</w:t>
      </w:r>
    </w:p>
    <w:p w:rsidR="00000000" w:rsidDel="00000000" w:rsidP="00000000" w:rsidRDefault="00000000" w:rsidRPr="00000000" w14:paraId="0000024D">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Nagaraj, S., Singh, S., &amp; Yasa, V. R. (2021). Factors affecting consumers’ willingness to subscribe to over-the-top (OTT) video streaming services in India. </w:t>
      </w:r>
      <w:r w:rsidDel="00000000" w:rsidR="00000000" w:rsidRPr="00000000">
        <w:rPr>
          <w:rFonts w:ascii="Times New Roman" w:cs="Times New Roman" w:eastAsia="Times New Roman" w:hAnsi="Times New Roman"/>
          <w:i w:val="1"/>
          <w:iCs w:val="1"/>
          <w:color w:val="222222"/>
          <w:sz w:val="24"/>
          <w:szCs w:val="24"/>
          <w:highlight w:val="white"/>
          <w:rtl w:val="0"/>
        </w:rPr>
        <w:t xml:space="preserve">Technology in Society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65</w:t>
      </w:r>
      <w:r w:rsidDel="00000000" w:rsidR="00000000" w:rsidRPr="00000000">
        <w:rPr>
          <w:rFonts w:ascii="Times New Roman" w:cs="Times New Roman" w:eastAsia="Times New Roman" w:hAnsi="Times New Roman"/>
          <w:color w:val="222222"/>
          <w:sz w:val="24"/>
          <w:szCs w:val="24"/>
          <w:highlight w:val="white"/>
          <w:rtl w:val="0"/>
        </w:rPr>
        <w:t xml:space="preserve">, 101534.</w:t>
      </w:r>
      <w:r w:rsidDel="00000000" w:rsidR="00000000" w:rsidRPr="00000000">
        <w:rPr>
          <w:rtl w:val="0"/>
        </w:rPr>
      </w:r>
    </w:p>
    <w:p w:rsidR="00000000" w:rsidDel="00000000" w:rsidP="00000000" w:rsidRDefault="00000000" w:rsidRPr="00000000" w14:paraId="000002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-Nunnally, J. C., &amp; Bernstein, I. H. (1994). </w:t>
      </w:r>
      <w:r w:rsidDel="00000000" w:rsidR="00000000" w:rsidRPr="00000000">
        <w:rPr>
          <w:rFonts w:ascii="Times New Roman" w:cs="Times New Roman" w:eastAsia="Times New Roman" w:hAnsi="Times New Roman"/>
          <w:i w:val="1"/>
          <w:iCs w:val="1"/>
          <w:sz w:val="24"/>
          <w:szCs w:val="24"/>
          <w:rtl w:val="0"/>
        </w:rPr>
        <w:t xml:space="preserve">Psychometric theory</w:t>
      </w:r>
      <w:r w:rsidDel="00000000" w:rsidR="00000000" w:rsidRPr="00000000">
        <w:rPr>
          <w:rFonts w:ascii="Times New Roman" w:cs="Times New Roman" w:eastAsia="Times New Roman" w:hAnsi="Times New Roman"/>
          <w:sz w:val="24"/>
          <w:szCs w:val="24"/>
          <w:rtl w:val="0"/>
        </w:rPr>
        <w:t xml:space="preserve"> (3rd ed.). McGraw-Hill.</w:t>
      </w:r>
    </w:p>
    <w:p w:rsidR="00000000" w:rsidDel="00000000" w:rsidP="00000000" w:rsidRDefault="00000000" w:rsidRPr="00000000" w14:paraId="0000024F">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-Nanjundeswaraswamy, T. S. (2023). The mediating role of job satisfaction in the relationship between leadership styles and employee commitment. </w:t>
      </w:r>
      <w:r w:rsidDel="00000000" w:rsidR="00000000" w:rsidRPr="00000000">
        <w:rPr>
          <w:rFonts w:ascii="Times New Roman" w:cs="Times New Roman" w:eastAsia="Times New Roman" w:hAnsi="Times New Roman"/>
          <w:i w:val="1"/>
          <w:iCs w:val="1"/>
          <w:sz w:val="24"/>
          <w:szCs w:val="24"/>
          <w:highlight w:val="white"/>
          <w:rtl w:val="0"/>
        </w:rPr>
        <w:t xml:space="preserve">Journal of Economic and Administrative Sciences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39</w:t>
      </w:r>
      <w:r w:rsidDel="00000000" w:rsidR="00000000" w:rsidRPr="00000000">
        <w:rPr>
          <w:rFonts w:ascii="Times New Roman" w:cs="Times New Roman" w:eastAsia="Times New Roman" w:hAnsi="Times New Roman"/>
          <w:sz w:val="24"/>
          <w:szCs w:val="24"/>
          <w:highlight w:val="white"/>
          <w:rtl w:val="0"/>
        </w:rPr>
        <w:t xml:space="preserve">(2), 286-304.</w:t>
      </w:r>
    </w:p>
    <w:p w:rsidR="00000000" w:rsidDel="00000000" w:rsidP="00000000" w:rsidRDefault="00000000" w:rsidRPr="00000000" w14:paraId="00000250">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-Pedrero-Esteban, L. M., &amp; Barrios-Rubio, A. (2024). Digital communication in the age of immediacy. </w:t>
      </w:r>
      <w:r w:rsidDel="00000000" w:rsidR="00000000" w:rsidRPr="00000000">
        <w:rPr>
          <w:rFonts w:ascii="Times New Roman" w:cs="Times New Roman" w:eastAsia="Times New Roman" w:hAnsi="Times New Roman"/>
          <w:i w:val="1"/>
          <w:iCs w:val="1"/>
          <w:color w:val="222222"/>
          <w:sz w:val="24"/>
          <w:szCs w:val="24"/>
          <w:highlight w:val="white"/>
          <w:rtl w:val="0"/>
        </w:rPr>
        <w:t xml:space="preserve">Digital</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4</w:t>
      </w:r>
      <w:r w:rsidDel="00000000" w:rsidR="00000000" w:rsidRPr="00000000">
        <w:rPr>
          <w:rFonts w:ascii="Times New Roman" w:cs="Times New Roman" w:eastAsia="Times New Roman" w:hAnsi="Times New Roman"/>
          <w:color w:val="222222"/>
          <w:sz w:val="24"/>
          <w:szCs w:val="24"/>
          <w:highlight w:val="white"/>
          <w:rtl w:val="0"/>
        </w:rPr>
        <w:t xml:space="preserve">(2), 302-315.</w:t>
      </w:r>
    </w:p>
    <w:p w:rsidR="00000000" w:rsidDel="00000000" w:rsidP="00000000" w:rsidRDefault="00000000" w:rsidRPr="00000000" w14:paraId="00000251">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-Piccerillo, L., &amp; Digennaro, S. (2025). Adolescent social media use and emotional intelligence: a systematic review. </w:t>
      </w:r>
      <w:r w:rsidDel="00000000" w:rsidR="00000000" w:rsidRPr="00000000">
        <w:rPr>
          <w:rFonts w:ascii="Times New Roman" w:cs="Times New Roman" w:eastAsia="Times New Roman" w:hAnsi="Times New Roman"/>
          <w:i w:val="1"/>
          <w:iCs w:val="1"/>
          <w:sz w:val="24"/>
          <w:szCs w:val="24"/>
          <w:highlight w:val="white"/>
          <w:rtl w:val="0"/>
        </w:rPr>
        <w:t xml:space="preserve">Adolescent Research Review</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10</w:t>
      </w:r>
      <w:r w:rsidDel="00000000" w:rsidR="00000000" w:rsidRPr="00000000">
        <w:rPr>
          <w:rFonts w:ascii="Times New Roman" w:cs="Times New Roman" w:eastAsia="Times New Roman" w:hAnsi="Times New Roman"/>
          <w:sz w:val="24"/>
          <w:szCs w:val="24"/>
          <w:highlight w:val="white"/>
          <w:rtl w:val="0"/>
        </w:rPr>
        <w:t xml:space="preserve">(2), 201-218.</w:t>
      </w:r>
    </w:p>
    <w:p w:rsidR="00000000" w:rsidDel="00000000" w:rsidP="00000000" w:rsidRDefault="00000000" w:rsidRPr="00000000" w14:paraId="00000252">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-Sae-tae, K., &amp; Wang, Q. (2024). Satisfied but no payment: The impact of perceived value on continuance intention and purchase intention in music streaming services. </w:t>
      </w:r>
      <w:r w:rsidDel="00000000" w:rsidR="00000000" w:rsidRPr="00000000">
        <w:rPr>
          <w:rFonts w:ascii="Times New Roman" w:cs="Times New Roman" w:eastAsia="Times New Roman" w:hAnsi="Times New Roman"/>
          <w:i w:val="1"/>
          <w:iCs w:val="1"/>
          <w:sz w:val="24"/>
          <w:szCs w:val="24"/>
          <w:highlight w:val="white"/>
          <w:rtl w:val="0"/>
        </w:rPr>
        <w:t xml:space="preserve">Telematics and Informatics Reports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16</w:t>
      </w:r>
      <w:r w:rsidDel="00000000" w:rsidR="00000000" w:rsidRPr="00000000">
        <w:rPr>
          <w:rFonts w:ascii="Times New Roman" w:cs="Times New Roman" w:eastAsia="Times New Roman" w:hAnsi="Times New Roman"/>
          <w:sz w:val="24"/>
          <w:szCs w:val="24"/>
          <w:highlight w:val="white"/>
          <w:rtl w:val="0"/>
        </w:rPr>
        <w:t xml:space="preserve">, 100179.</w:t>
      </w:r>
    </w:p>
    <w:p w:rsidR="00000000" w:rsidDel="00000000" w:rsidP="00000000" w:rsidRDefault="00000000" w:rsidRPr="00000000" w14:paraId="00000253">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Scherer, H., Diaz, S., Iannone, N., McCarty, M., Branch, S., &amp; Kelly, J. (2022). “Leave Britney alone!”: Parasocial relationships and empathy. </w:t>
      </w:r>
      <w:r w:rsidDel="00000000" w:rsidR="00000000" w:rsidRPr="00000000">
        <w:rPr>
          <w:rFonts w:ascii="Times New Roman" w:cs="Times New Roman" w:eastAsia="Times New Roman" w:hAnsi="Times New Roman"/>
          <w:i w:val="1"/>
          <w:iCs w:val="1"/>
          <w:color w:val="222222"/>
          <w:sz w:val="24"/>
          <w:szCs w:val="24"/>
          <w:highlight w:val="white"/>
          <w:rtl w:val="0"/>
        </w:rPr>
        <w:t xml:space="preserve">The Journal of Social Psychology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162</w:t>
      </w:r>
      <w:r w:rsidDel="00000000" w:rsidR="00000000" w:rsidRPr="00000000">
        <w:rPr>
          <w:rFonts w:ascii="Times New Roman" w:cs="Times New Roman" w:eastAsia="Times New Roman" w:hAnsi="Times New Roman"/>
          <w:color w:val="222222"/>
          <w:sz w:val="24"/>
          <w:szCs w:val="24"/>
          <w:highlight w:val="white"/>
          <w:rtl w:val="0"/>
        </w:rPr>
        <w:t xml:space="preserve">(1), 128-142.</w:t>
      </w:r>
    </w:p>
    <w:p w:rsidR="00000000" w:rsidDel="00000000" w:rsidP="00000000" w:rsidRDefault="00000000" w:rsidRPr="00000000" w14:paraId="00000254">
      <w:pPr>
        <w:spacing w:line="36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-Sandıkcı, Ö., &amp; Jafari, A. (2013). Islamic encounters in consumption and marketing. Marketing Theory, 13(4), 411-420.</w:t>
      </w:r>
    </w:p>
    <w:p w:rsidR="00000000" w:rsidDel="00000000" w:rsidP="00000000" w:rsidRDefault="00000000" w:rsidRPr="00000000" w14:paraId="00000255">
      <w:pPr>
        <w:spacing w:line="36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Sardanelli, D., Ferrara, C., &amp; Cerquetti, M. (2025). Clustering studies on cultural consumption in the digital society. A systematic literature review on Gen Y and Gen Z. </w:t>
      </w:r>
      <w:r w:rsidDel="00000000" w:rsidR="00000000" w:rsidRPr="00000000">
        <w:rPr>
          <w:rFonts w:ascii="Times New Roman" w:cs="Times New Roman" w:eastAsia="Times New Roman" w:hAnsi="Times New Roman"/>
          <w:i w:val="1"/>
          <w:iCs w:val="1"/>
          <w:color w:val="222222"/>
          <w:sz w:val="24"/>
          <w:szCs w:val="24"/>
          <w:highlight w:val="white"/>
          <w:rtl w:val="0"/>
        </w:rPr>
        <w:t xml:space="preserve">Leisure Studies</w:t>
      </w:r>
      <w:r w:rsidDel="00000000" w:rsidR="00000000" w:rsidRPr="00000000">
        <w:rPr>
          <w:rFonts w:ascii="Times New Roman" w:cs="Times New Roman" w:eastAsia="Times New Roman" w:hAnsi="Times New Roman"/>
          <w:color w:val="222222"/>
          <w:sz w:val="24"/>
          <w:szCs w:val="24"/>
          <w:highlight w:val="white"/>
          <w:rtl w:val="0"/>
        </w:rPr>
        <w:t xml:space="preserve">, 1-17.</w:t>
      </w:r>
      <w:r w:rsidDel="00000000" w:rsidR="00000000" w:rsidRPr="00000000">
        <w:rPr>
          <w:rtl w:val="0"/>
        </w:rPr>
      </w:r>
    </w:p>
    <w:p w:rsidR="00000000" w:rsidDel="00000000" w:rsidP="00000000" w:rsidRDefault="00000000" w:rsidRPr="00000000" w14:paraId="00000256">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-Singer, M. F., Callendar, C. L., Ma, X., &amp; Tham, S. M. (2023). Differences in perceived influencer authenticity: a comparison of Gen Z and Millennials’ definitions of influencer authenticity during the de-influencer movement. </w:t>
      </w:r>
      <w:r w:rsidDel="00000000" w:rsidR="00000000" w:rsidRPr="00000000">
        <w:rPr>
          <w:rFonts w:ascii="Times New Roman" w:cs="Times New Roman" w:eastAsia="Times New Roman" w:hAnsi="Times New Roman"/>
          <w:i w:val="1"/>
          <w:iCs w:val="1"/>
          <w:sz w:val="24"/>
          <w:szCs w:val="24"/>
          <w:highlight w:val="white"/>
          <w:rtl w:val="0"/>
        </w:rPr>
        <w:t xml:space="preserve">Online Media and Global Communication</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2</w:t>
      </w:r>
      <w:r w:rsidDel="00000000" w:rsidR="00000000" w:rsidRPr="00000000">
        <w:rPr>
          <w:rFonts w:ascii="Times New Roman" w:cs="Times New Roman" w:eastAsia="Times New Roman" w:hAnsi="Times New Roman"/>
          <w:sz w:val="24"/>
          <w:szCs w:val="24"/>
          <w:highlight w:val="white"/>
          <w:rtl w:val="0"/>
        </w:rPr>
        <w:t xml:space="preserve">(3), 351-378.</w:t>
      </w:r>
    </w:p>
    <w:p w:rsidR="00000000" w:rsidDel="00000000" w:rsidP="00000000" w:rsidRDefault="00000000" w:rsidRPr="00000000" w14:paraId="00000257">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-Soren, A. A., &amp; Chakraborty, S. (2024). Adoption, satisfaction, trust, and commitment of over-the-top platforms: An integrated approach. </w:t>
      </w:r>
      <w:r w:rsidDel="00000000" w:rsidR="00000000" w:rsidRPr="00000000">
        <w:rPr>
          <w:rFonts w:ascii="Times New Roman" w:cs="Times New Roman" w:eastAsia="Times New Roman" w:hAnsi="Times New Roman"/>
          <w:i w:val="1"/>
          <w:iCs w:val="1"/>
          <w:sz w:val="24"/>
          <w:szCs w:val="24"/>
          <w:highlight w:val="white"/>
          <w:rtl w:val="0"/>
        </w:rPr>
        <w:t xml:space="preserve">Journal of Retailing and Consumer Services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76</w:t>
      </w:r>
      <w:r w:rsidDel="00000000" w:rsidR="00000000" w:rsidRPr="00000000">
        <w:rPr>
          <w:rFonts w:ascii="Times New Roman" w:cs="Times New Roman" w:eastAsia="Times New Roman" w:hAnsi="Times New Roman"/>
          <w:sz w:val="24"/>
          <w:szCs w:val="24"/>
          <w:highlight w:val="white"/>
          <w:rtl w:val="0"/>
        </w:rPr>
        <w:t xml:space="preserve">, 103574.</w:t>
      </w:r>
    </w:p>
    <w:p w:rsidR="00000000" w:rsidDel="00000000" w:rsidP="00000000" w:rsidRDefault="00000000" w:rsidRPr="00000000" w14:paraId="00000258">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Stein, V., Pentzold, C., Peter, S., &amp; Sterly, S. (2025). Digital political participation for rural development: Necessary conditions and cultures of participation. </w:t>
      </w:r>
      <w:r w:rsidDel="00000000" w:rsidR="00000000" w:rsidRPr="00000000">
        <w:rPr>
          <w:rFonts w:ascii="Times New Roman" w:cs="Times New Roman" w:eastAsia="Times New Roman" w:hAnsi="Times New Roman"/>
          <w:i w:val="1"/>
          <w:iCs w:val="1"/>
          <w:color w:val="222222"/>
          <w:sz w:val="24"/>
          <w:szCs w:val="24"/>
          <w:highlight w:val="white"/>
          <w:rtl w:val="0"/>
        </w:rPr>
        <w:t xml:space="preserve">The Information Society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41</w:t>
      </w:r>
      <w:r w:rsidDel="00000000" w:rsidR="00000000" w:rsidRPr="00000000">
        <w:rPr>
          <w:rFonts w:ascii="Times New Roman" w:cs="Times New Roman" w:eastAsia="Times New Roman" w:hAnsi="Times New Roman"/>
          <w:color w:val="222222"/>
          <w:sz w:val="24"/>
          <w:szCs w:val="24"/>
          <w:highlight w:val="white"/>
          <w:rtl w:val="0"/>
        </w:rPr>
        <w:t xml:space="preserve">(1), 18-32.</w:t>
      </w:r>
    </w:p>
    <w:p w:rsidR="00000000" w:rsidDel="00000000" w:rsidP="00000000" w:rsidRDefault="00000000" w:rsidRPr="00000000" w14:paraId="00000259">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-Stein, D. H., Hobson, N. M., &amp; Schroeder, J. 2021. A sacred commitment: How rituals promote group survival. Current Opinion in Psychology, 40: 114–120.</w:t>
      </w:r>
    </w:p>
    <w:p w:rsidR="00000000" w:rsidDel="00000000" w:rsidP="00000000" w:rsidRDefault="00000000" w:rsidRPr="00000000" w14:paraId="0000025A">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Sutrisno, S. (2023). Changes in media consumption patterns and their implications for people's cultural identity. </w:t>
      </w:r>
      <w:r w:rsidDel="00000000" w:rsidR="00000000" w:rsidRPr="00000000">
        <w:rPr>
          <w:rFonts w:ascii="Times New Roman" w:cs="Times New Roman" w:eastAsia="Times New Roman" w:hAnsi="Times New Roman"/>
          <w:i w:val="1"/>
          <w:iCs w:val="1"/>
          <w:color w:val="222222"/>
          <w:sz w:val="24"/>
          <w:szCs w:val="24"/>
          <w:highlight w:val="white"/>
          <w:rtl w:val="0"/>
        </w:rPr>
        <w:t xml:space="preserve">Technology and Society Perspectives (TACIT)</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w:t>
      </w:r>
      <w:r w:rsidDel="00000000" w:rsidR="00000000" w:rsidRPr="00000000">
        <w:rPr>
          <w:rFonts w:ascii="Times New Roman" w:cs="Times New Roman" w:eastAsia="Times New Roman" w:hAnsi="Times New Roman"/>
          <w:color w:val="222222"/>
          <w:sz w:val="24"/>
          <w:szCs w:val="24"/>
          <w:highlight w:val="white"/>
          <w:rtl w:val="0"/>
        </w:rPr>
        <w:t xml:space="preserve">(1), 18-25.</w:t>
      </w:r>
      <w:r w:rsidDel="00000000" w:rsidR="00000000" w:rsidRPr="00000000">
        <w:rPr>
          <w:rtl w:val="0"/>
        </w:rPr>
      </w:r>
    </w:p>
    <w:p w:rsidR="00000000" w:rsidDel="00000000" w:rsidP="00000000" w:rsidRDefault="00000000" w:rsidRPr="00000000" w14:paraId="0000025B">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-Redfern, N. (2012). Correspondence analysis of genre preferences in UK film audiences. Participations: journal of audience and reception studies, 9(2), 45-55.</w:t>
      </w:r>
    </w:p>
    <w:p w:rsidR="00000000" w:rsidDel="00000000" w:rsidP="00000000" w:rsidRDefault="00000000" w:rsidRPr="00000000" w14:paraId="0000025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-Reich, S., and Barak, A. (2018) "Generation Z: The Net Generation on Campus." Active Learning in Higher Education, vol. 19, no. 2, pp. 101-112. DOI: 10.1177/1469787417748907.</w:t>
      </w:r>
    </w:p>
    <w:p w:rsidR="00000000" w:rsidDel="00000000" w:rsidP="00000000" w:rsidRDefault="00000000" w:rsidRPr="00000000" w14:paraId="0000025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Rokka, J. (2021). Consumer Culture Theory’s future in marketing. </w:t>
      </w:r>
      <w:r w:rsidDel="00000000" w:rsidR="00000000" w:rsidRPr="00000000">
        <w:rPr>
          <w:rFonts w:ascii="Times New Roman" w:cs="Times New Roman" w:eastAsia="Times New Roman" w:hAnsi="Times New Roman"/>
          <w:i w:val="1"/>
          <w:iCs w:val="1"/>
          <w:color w:val="222222"/>
          <w:sz w:val="24"/>
          <w:szCs w:val="24"/>
          <w:highlight w:val="white"/>
          <w:rtl w:val="0"/>
        </w:rPr>
        <w:t xml:space="preserve">Journal of Marketing Theory and Practice</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29</w:t>
      </w:r>
      <w:r w:rsidDel="00000000" w:rsidR="00000000" w:rsidRPr="00000000">
        <w:rPr>
          <w:rFonts w:ascii="Times New Roman" w:cs="Times New Roman" w:eastAsia="Times New Roman" w:hAnsi="Times New Roman"/>
          <w:color w:val="222222"/>
          <w:sz w:val="24"/>
          <w:szCs w:val="24"/>
          <w:highlight w:val="white"/>
          <w:rtl w:val="0"/>
        </w:rPr>
        <w:t xml:space="preserve">(1), 114-124.</w:t>
      </w:r>
      <w:r w:rsidDel="00000000" w:rsidR="00000000" w:rsidRPr="00000000">
        <w:rPr>
          <w:rtl w:val="0"/>
        </w:rPr>
      </w:r>
    </w:p>
    <w:p w:rsidR="00000000" w:rsidDel="00000000" w:rsidP="00000000" w:rsidRDefault="00000000" w:rsidRPr="00000000" w14:paraId="0000025E">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Rohmadi, M., Wibowo, P. A. W., Sudaryanto, M., &amp; Saddhono, K. (2025). Religiousness in Javanese Language and Culture Communication: A Sociopragmatic Study in Java Island, Indonesia.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International Journal on Culture, History, and Religion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7</w:t>
      </w:r>
      <w:r w:rsidDel="00000000" w:rsidR="00000000" w:rsidRPr="00000000">
        <w:rPr>
          <w:rFonts w:ascii="Times New Roman" w:cs="Times New Roman" w:eastAsia="Times New Roman" w:hAnsi="Times New Roman"/>
          <w:color w:val="222222"/>
          <w:sz w:val="24"/>
          <w:szCs w:val="24"/>
          <w:highlight w:val="white"/>
          <w:rtl w:val="0"/>
        </w:rPr>
        <w:t xml:space="preserve">(1), 19-37.</w:t>
      </w:r>
    </w:p>
    <w:p w:rsidR="00000000" w:rsidDel="00000000" w:rsidP="00000000" w:rsidRDefault="00000000" w:rsidRPr="00000000" w14:paraId="0000025F">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-Rossano, M. J. 2020. Ritual as resource management. Philosophical Transactions of the Royal Society B, 375. Retrieved from </w:t>
      </w:r>
      <w:hyperlink r:id="rId11">
        <w:r w:rsidDel="00000000" w:rsidR="00000000" w:rsidRPr="00000000">
          <w:rPr>
            <w:rFonts w:ascii="Times New Roman" w:cs="Times New Roman" w:eastAsia="Times New Roman" w:hAnsi="Times New Roman"/>
            <w:color w:val="1155cc"/>
            <w:sz w:val="24"/>
            <w:szCs w:val="24"/>
            <w:highlight w:val="white"/>
            <w:u w:val="single"/>
            <w:rtl w:val="0"/>
          </w:rPr>
          <w:t xml:space="preserve">https://doi.org/10.1098/rstb.2019.0429</w:t>
        </w:r>
      </w:hyperlink>
      <w:r w:rsidDel="00000000" w:rsidR="00000000" w:rsidRPr="00000000">
        <w:rPr>
          <w:rFonts w:ascii="Times New Roman" w:cs="Times New Roman" w:eastAsia="Times New Roman" w:hAnsi="Times New Roman"/>
          <w:color w:val="222222"/>
          <w:sz w:val="24"/>
          <w:szCs w:val="24"/>
          <w:highlight w:val="white"/>
          <w:rtl w:val="0"/>
        </w:rPr>
        <w:t xml:space="preserve">.</w:t>
      </w:r>
    </w:p>
    <w:p w:rsidR="00000000" w:rsidDel="00000000" w:rsidP="00000000" w:rsidRDefault="00000000" w:rsidRPr="00000000" w14:paraId="00000260">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-Tabachnick, B., &amp; Fidell, L. (2013). Using multivariate statistics (6th ed.). Pearson Education.</w:t>
      </w:r>
    </w:p>
    <w:p w:rsidR="00000000" w:rsidDel="00000000" w:rsidP="00000000" w:rsidRDefault="00000000" w:rsidRPr="00000000" w14:paraId="00000261">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-Tseng, T. H., Hsieh, S. H., &amp; Lee, C. T. (2022). Capturing behavioural outcomes through branded applications: the perspective of the investment model. </w:t>
      </w:r>
      <w:r w:rsidDel="00000000" w:rsidR="00000000" w:rsidRPr="00000000">
        <w:rPr>
          <w:rFonts w:ascii="Times New Roman" w:cs="Times New Roman" w:eastAsia="Times New Roman" w:hAnsi="Times New Roman"/>
          <w:i w:val="1"/>
          <w:iCs w:val="1"/>
          <w:sz w:val="24"/>
          <w:szCs w:val="24"/>
          <w:highlight w:val="white"/>
          <w:rtl w:val="0"/>
        </w:rPr>
        <w:t xml:space="preserve">Internet Research</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32</w:t>
      </w:r>
      <w:r w:rsidDel="00000000" w:rsidR="00000000" w:rsidRPr="00000000">
        <w:rPr>
          <w:rFonts w:ascii="Times New Roman" w:cs="Times New Roman" w:eastAsia="Times New Roman" w:hAnsi="Times New Roman"/>
          <w:sz w:val="24"/>
          <w:szCs w:val="24"/>
          <w:highlight w:val="white"/>
          <w:rtl w:val="0"/>
        </w:rPr>
        <w:t xml:space="preserve">(5), 1532-1561.</w:t>
      </w:r>
    </w:p>
    <w:p w:rsidR="00000000" w:rsidDel="00000000" w:rsidP="00000000" w:rsidRDefault="00000000" w:rsidRPr="00000000" w14:paraId="00000262">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-Tsoutsi &amp; Dikeos (2024), "Family Functioning and Cohesion Scale: Validation of a Short Instrument," Behavioral Sciences.</w:t>
      </w:r>
      <w:r w:rsidDel="00000000" w:rsidR="00000000" w:rsidRPr="00000000">
        <w:rPr>
          <w:rtl w:val="0"/>
        </w:rPr>
      </w:r>
    </w:p>
    <w:p w:rsidR="00000000" w:rsidDel="00000000" w:rsidP="00000000" w:rsidRDefault="00000000" w:rsidRPr="00000000" w14:paraId="00000263">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Terkenli, T. S., &amp; Georgoula, V. (2021). Tourism and cultural sustainability: Views and prospects from Cyclades, Greece. </w:t>
      </w:r>
      <w:r w:rsidDel="00000000" w:rsidR="00000000" w:rsidRPr="00000000">
        <w:rPr>
          <w:rFonts w:ascii="Times New Roman" w:cs="Times New Roman" w:eastAsia="Times New Roman" w:hAnsi="Times New Roman"/>
          <w:i w:val="1"/>
          <w:iCs w:val="1"/>
          <w:color w:val="222222"/>
          <w:sz w:val="24"/>
          <w:szCs w:val="24"/>
          <w:highlight w:val="white"/>
          <w:rtl w:val="0"/>
        </w:rPr>
        <w:t xml:space="preserve">Sustainability</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14</w:t>
      </w:r>
      <w:r w:rsidDel="00000000" w:rsidR="00000000" w:rsidRPr="00000000">
        <w:rPr>
          <w:rFonts w:ascii="Times New Roman" w:cs="Times New Roman" w:eastAsia="Times New Roman" w:hAnsi="Times New Roman"/>
          <w:color w:val="222222"/>
          <w:sz w:val="24"/>
          <w:szCs w:val="24"/>
          <w:highlight w:val="white"/>
          <w:rtl w:val="0"/>
        </w:rPr>
        <w:t xml:space="preserve">(1), 307.</w:t>
      </w:r>
      <w:r w:rsidDel="00000000" w:rsidR="00000000" w:rsidRPr="00000000">
        <w:rPr>
          <w:rtl w:val="0"/>
        </w:rPr>
      </w:r>
    </w:p>
    <w:p w:rsidR="00000000" w:rsidDel="00000000" w:rsidP="00000000" w:rsidRDefault="00000000" w:rsidRPr="00000000" w14:paraId="00000264">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-Uysal, A. (2016). Commitment to multiplayer online games: an investment model approach. </w:t>
      </w:r>
      <w:r w:rsidDel="00000000" w:rsidR="00000000" w:rsidRPr="00000000">
        <w:rPr>
          <w:rFonts w:ascii="Times New Roman" w:cs="Times New Roman" w:eastAsia="Times New Roman" w:hAnsi="Times New Roman"/>
          <w:i w:val="1"/>
          <w:iCs w:val="1"/>
          <w:sz w:val="24"/>
          <w:szCs w:val="24"/>
          <w:highlight w:val="white"/>
          <w:rtl w:val="0"/>
        </w:rPr>
        <w:t xml:space="preserve">Computers in Human Behavior</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61</w:t>
      </w:r>
      <w:r w:rsidDel="00000000" w:rsidR="00000000" w:rsidRPr="00000000">
        <w:rPr>
          <w:rFonts w:ascii="Times New Roman" w:cs="Times New Roman" w:eastAsia="Times New Roman" w:hAnsi="Times New Roman"/>
          <w:sz w:val="24"/>
          <w:szCs w:val="24"/>
          <w:highlight w:val="white"/>
          <w:rtl w:val="0"/>
        </w:rPr>
        <w:t xml:space="preserve">, 357-363.</w:t>
      </w:r>
    </w:p>
    <w:p w:rsidR="00000000" w:rsidDel="00000000" w:rsidP="00000000" w:rsidRDefault="00000000" w:rsidRPr="00000000" w14:paraId="00000265">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-Vidani, J. (2024). Exploring the Influence of Reels and Short Videos on the Reading and Listening Habits of Generation Z: A Comprehensive Study. </w:t>
      </w:r>
      <w:r w:rsidDel="00000000" w:rsidR="00000000" w:rsidRPr="00000000">
        <w:rPr>
          <w:rFonts w:ascii="Times New Roman" w:cs="Times New Roman" w:eastAsia="Times New Roman" w:hAnsi="Times New Roman"/>
          <w:i w:val="1"/>
          <w:iCs w:val="1"/>
          <w:sz w:val="24"/>
          <w:szCs w:val="24"/>
          <w:highlight w:val="white"/>
          <w:rtl w:val="0"/>
        </w:rPr>
        <w:t xml:space="preserve">Available at SSRN 4889495</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266">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222222"/>
          <w:sz w:val="24"/>
          <w:szCs w:val="24"/>
          <w:highlight w:val="white"/>
          <w:rtl w:val="0"/>
        </w:rPr>
        <w:t xml:space="preserve">Wang, J., &amp; Zhang, C. (2024). Religious pluralism of Muslim practices in China: the cases of ritual participation from Hui and Uyghur societies. </w:t>
      </w:r>
      <w:r w:rsidDel="00000000" w:rsidR="00000000" w:rsidRPr="00000000">
        <w:rPr>
          <w:rFonts w:ascii="Times New Roman" w:cs="Times New Roman" w:eastAsia="Times New Roman" w:hAnsi="Times New Roman"/>
          <w:i w:val="1"/>
          <w:iCs w:val="1"/>
          <w:color w:val="222222"/>
          <w:sz w:val="24"/>
          <w:szCs w:val="24"/>
          <w:highlight w:val="white"/>
          <w:rtl w:val="0"/>
        </w:rPr>
        <w:t xml:space="preserve">International Journal of Asian Studies</w:t>
      </w:r>
      <w:r w:rsidDel="00000000" w:rsidR="00000000" w:rsidRPr="00000000">
        <w:rPr>
          <w:rFonts w:ascii="Times New Roman" w:cs="Times New Roman" w:eastAsia="Times New Roman" w:hAnsi="Times New Roman"/>
          <w:color w:val="222222"/>
          <w:sz w:val="24"/>
          <w:szCs w:val="24"/>
          <w:highlight w:val="white"/>
          <w:rtl w:val="0"/>
        </w:rPr>
        <w:t xml:space="preserve">, 1-15.</w:t>
      </w:r>
      <w:r w:rsidDel="00000000" w:rsidR="00000000" w:rsidRPr="00000000">
        <w:rPr>
          <w:rtl w:val="0"/>
        </w:rPr>
      </w:r>
    </w:p>
    <w:p w:rsidR="00000000" w:rsidDel="00000000" w:rsidP="00000000" w:rsidRDefault="00000000" w:rsidRPr="00000000" w14:paraId="000002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-Workman, Jane E; Seung-Hee Lee &amp; Yuli Liang (2023) Gen Z’s social media engagement, fashion innovativeness, need for variety, and gender, International Journal of Fashion Design, Technology and Education, 16:1, 110-118, DOI: 10.1080/17543266.2022.2126015</w:t>
      </w:r>
    </w:p>
    <w:p w:rsidR="00000000" w:rsidDel="00000000" w:rsidP="00000000" w:rsidRDefault="00000000" w:rsidRPr="00000000" w14:paraId="00000268">
      <w:pPr>
        <w:spacing w:line="36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-Wu, T., Jiang, N., Kumar, T. B. J., &amp; Chen, M. (2024). The role of cognitive factors in consumers’ perceived value and subscription intention of video streaming platforms: a systematic literature review. </w:t>
      </w:r>
      <w:r w:rsidDel="00000000" w:rsidR="00000000" w:rsidRPr="00000000">
        <w:rPr>
          <w:rFonts w:ascii="Times New Roman" w:cs="Times New Roman" w:eastAsia="Times New Roman" w:hAnsi="Times New Roman"/>
          <w:i w:val="1"/>
          <w:iCs w:val="1"/>
          <w:color w:val="222222"/>
          <w:sz w:val="24"/>
          <w:szCs w:val="24"/>
          <w:highlight w:val="white"/>
          <w:rtl w:val="0"/>
        </w:rPr>
        <w:t xml:space="preserve">Cogent Business &amp; Management</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iCs w:val="1"/>
          <w:color w:val="222222"/>
          <w:sz w:val="24"/>
          <w:szCs w:val="24"/>
          <w:highlight w:val="white"/>
          <w:rtl w:val="0"/>
        </w:rPr>
        <w:t xml:space="preserve">11</w:t>
      </w:r>
      <w:r w:rsidDel="00000000" w:rsidR="00000000" w:rsidRPr="00000000">
        <w:rPr>
          <w:rFonts w:ascii="Times New Roman" w:cs="Times New Roman" w:eastAsia="Times New Roman" w:hAnsi="Times New Roman"/>
          <w:color w:val="222222"/>
          <w:sz w:val="24"/>
          <w:szCs w:val="24"/>
          <w:highlight w:val="white"/>
          <w:rtl w:val="0"/>
        </w:rPr>
        <w:t xml:space="preserve">(1), 2329247.</w:t>
      </w:r>
    </w:p>
    <w:p w:rsidR="00000000" w:rsidDel="00000000" w:rsidP="00000000" w:rsidRDefault="00000000" w:rsidRPr="00000000" w14:paraId="00000269">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-Yahya, M. A., &amp; Mammadzada, H. (2024). Targeting generation Z: A systematic literature review (SLR) and bibliometric analysis for effective marketing. </w:t>
      </w:r>
      <w:r w:rsidDel="00000000" w:rsidR="00000000" w:rsidRPr="00000000">
        <w:rPr>
          <w:rFonts w:ascii="Times New Roman" w:cs="Times New Roman" w:eastAsia="Times New Roman" w:hAnsi="Times New Roman"/>
          <w:i w:val="1"/>
          <w:iCs w:val="1"/>
          <w:sz w:val="24"/>
          <w:szCs w:val="24"/>
          <w:highlight w:val="white"/>
          <w:rtl w:val="0"/>
        </w:rPr>
        <w:t xml:space="preserve">Journal of Politics, Economy and Management</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7</w:t>
      </w:r>
      <w:r w:rsidDel="00000000" w:rsidR="00000000" w:rsidRPr="00000000">
        <w:rPr>
          <w:rFonts w:ascii="Times New Roman" w:cs="Times New Roman" w:eastAsia="Times New Roman" w:hAnsi="Times New Roman"/>
          <w:sz w:val="24"/>
          <w:szCs w:val="24"/>
          <w:highlight w:val="white"/>
          <w:rtl w:val="0"/>
        </w:rPr>
        <w:t xml:space="preserve">(1), 21-44.</w:t>
      </w:r>
    </w:p>
    <w:p w:rsidR="00000000" w:rsidDel="00000000" w:rsidP="00000000" w:rsidRDefault="00000000" w:rsidRPr="00000000" w14:paraId="0000026A">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Zhao, Y., Ni, Q. and Zhou, R. (2018), “What factors influence the mobile health service adoption? A meta-analysis and the moderating role of age”, International Journal of Information Management, Vol. 43, pp. 342-350.</w:t>
      </w:r>
    </w:p>
    <w:p w:rsidR="00000000" w:rsidDel="00000000" w:rsidP="00000000" w:rsidRDefault="00000000" w:rsidRPr="00000000" w14:paraId="0000026B">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-Zhang, R., Mercado, T., &amp; Bi, N. C. (2025). “Unintended” marketing through influencer vlogs: impacts of interactions, parasocial relationships, and perceived influencer credibility on purchase behaviors. </w:t>
      </w:r>
      <w:r w:rsidDel="00000000" w:rsidR="00000000" w:rsidRPr="00000000">
        <w:rPr>
          <w:rFonts w:ascii="Times New Roman" w:cs="Times New Roman" w:eastAsia="Times New Roman" w:hAnsi="Times New Roman"/>
          <w:i w:val="1"/>
          <w:iCs w:val="1"/>
          <w:sz w:val="24"/>
          <w:szCs w:val="24"/>
          <w:highlight w:val="white"/>
          <w:rtl w:val="0"/>
        </w:rPr>
        <w:t xml:space="preserve">Journal of Research in Interactive Marketing</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19</w:t>
      </w:r>
      <w:r w:rsidDel="00000000" w:rsidR="00000000" w:rsidRPr="00000000">
        <w:rPr>
          <w:rFonts w:ascii="Times New Roman" w:cs="Times New Roman" w:eastAsia="Times New Roman" w:hAnsi="Times New Roman"/>
          <w:sz w:val="24"/>
          <w:szCs w:val="24"/>
          <w:highlight w:val="white"/>
          <w:rtl w:val="0"/>
        </w:rPr>
        <w:t xml:space="preserve">(1), 5-18.</w:t>
      </w:r>
    </w:p>
    <w:p w:rsidR="00000000" w:rsidDel="00000000" w:rsidP="00000000" w:rsidRDefault="00000000" w:rsidRPr="00000000" w14:paraId="0000026C">
      <w:pPr>
        <w:spacing w:line="3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-Yoon, J. H., &amp; Kim, H. K. (2023). Why do consumers continue to use OTT services?. </w:t>
      </w:r>
      <w:r w:rsidDel="00000000" w:rsidR="00000000" w:rsidRPr="00000000">
        <w:rPr>
          <w:rFonts w:ascii="Times New Roman" w:cs="Times New Roman" w:eastAsia="Times New Roman" w:hAnsi="Times New Roman"/>
          <w:i w:val="1"/>
          <w:iCs w:val="1"/>
          <w:sz w:val="24"/>
          <w:szCs w:val="24"/>
          <w:highlight w:val="white"/>
          <w:rtl w:val="0"/>
        </w:rPr>
        <w:t xml:space="preserve">Electronic Commerce Research and Applications</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iCs w:val="1"/>
          <w:sz w:val="24"/>
          <w:szCs w:val="24"/>
          <w:highlight w:val="white"/>
          <w:rtl w:val="0"/>
        </w:rPr>
        <w:t xml:space="preserve">60</w:t>
      </w:r>
      <w:r w:rsidDel="00000000" w:rsidR="00000000" w:rsidRPr="00000000">
        <w:rPr>
          <w:rFonts w:ascii="Times New Roman" w:cs="Times New Roman" w:eastAsia="Times New Roman" w:hAnsi="Times New Roman"/>
          <w:sz w:val="24"/>
          <w:szCs w:val="24"/>
          <w:highlight w:val="white"/>
          <w:rtl w:val="0"/>
        </w:rPr>
        <w:t xml:space="preserve">, 101285.</w:t>
      </w:r>
    </w:p>
    <w:p w:rsidR="00000000" w:rsidDel="00000000" w:rsidP="00000000" w:rsidRDefault="00000000" w:rsidRPr="00000000" w14:paraId="0000026D">
      <w:pPr>
        <w:spacing w:line="36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26E">
      <w:pPr>
        <w:spacing w:line="360" w:lineRule="auto"/>
        <w:rPr>
          <w:b w:val="1"/>
          <w:bCs w:val="1"/>
          <w:sz w:val="24"/>
          <w:szCs w:val="24"/>
        </w:rPr>
      </w:pPr>
      <w:r w:rsidDel="00000000" w:rsidR="00000000" w:rsidRPr="00000000">
        <w:rPr>
          <w:rtl w:val="0"/>
        </w:rPr>
      </w:r>
    </w:p>
    <w:p w:rsidR="00000000" w:rsidDel="00000000" w:rsidP="00000000" w:rsidRDefault="00000000" w:rsidRPr="00000000" w14:paraId="0000026F">
      <w:pPr>
        <w:spacing w:line="360" w:lineRule="auto"/>
        <w:rPr>
          <w:b w:val="1"/>
          <w:bCs w:val="1"/>
          <w:sz w:val="24"/>
          <w:szCs w:val="24"/>
        </w:rPr>
      </w:pPr>
      <w:r w:rsidDel="00000000" w:rsidR="00000000" w:rsidRPr="00000000">
        <w:rPr>
          <w:rtl w:val="0"/>
        </w:rPr>
      </w:r>
    </w:p>
    <w:sectPr>
      <w:headerReference r:id="rId12" w:type="default"/>
      <w:footerReference r:id="rId13" w:type="defaul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Arial Unicode MS"/>
  <w:font w:name="Cardo">
    <w:embedRegular w:fontKey="{00000000-0000-0000-0000-000000000000}" r:id="rId1" w:subsetted="0"/>
    <w:embedBold w:fontKey="{00000000-0000-0000-0000-000000000000}" r:id="rId2" w:subsetted="0"/>
    <w:embedItalic w:fontKey="{00000000-0000-0000-0000-000000000000}" r:id="rId3" w:subsetted="0"/>
  </w:font>
  <w:font w:name="Arimo">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Book Antiqua">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5">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536"/>
        <w:tab w:val="right" w:leader="none" w:pos="9072"/>
        <w:tab w:val="right" w:leader="none" w:pos="8222"/>
        <w:tab w:val="right" w:leader="none" w:pos="8505"/>
        <w:tab w:val="right" w:leader="none" w:pos="9356"/>
      </w:tabs>
      <w:spacing w:after="0" w:before="0" w:line="240" w:lineRule="auto"/>
      <w:ind w:left="0" w:right="14" w:firstLine="0"/>
      <w:jc w:val="both"/>
      <w:rPr>
        <w:rFonts w:ascii="Book Antiqua" w:cs="Book Antiqua" w:eastAsia="Book Antiqua" w:hAnsi="Book Antiqua"/>
        <w:b w:val="1"/>
        <w:bCs w:val="1"/>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Revue Internationale Multidisciplinaire</w:t>
    </w:r>
  </w:p>
  <w:p w:rsidR="00000000" w:rsidDel="00000000" w:rsidP="00000000" w:rsidRDefault="00000000" w:rsidRPr="00000000" w14:paraId="00000276">
    <w:pPr>
      <w:keepNext w:val="0"/>
      <w:keepLines w:val="0"/>
      <w:pageBreakBefore w:val="0"/>
      <w:widowControl w:val="1"/>
      <w:pBdr>
        <w:top w:color="622423" w:space="1" w:sz="24" w:val="single"/>
        <w:left w:space="0" w:sz="0" w:val="nil"/>
        <w:bottom w:space="0" w:sz="0" w:val="nil"/>
        <w:right w:space="0" w:sz="0" w:val="nil"/>
        <w:between w:space="0" w:sz="0" w:val="nil"/>
      </w:pBdr>
      <w:shd w:fill="auto" w:val="clear"/>
      <w:tabs>
        <w:tab w:val="center" w:leader="none" w:pos="4536"/>
        <w:tab w:val="right" w:leader="none" w:pos="9072"/>
        <w:tab w:val="right" w:leader="none" w:pos="8222"/>
        <w:tab w:val="right" w:leader="none" w:pos="8505"/>
        <w:tab w:val="right" w:leader="none" w:pos="9356"/>
      </w:tabs>
      <w:spacing w:after="0" w:before="0" w:line="240" w:lineRule="auto"/>
      <w:ind w:left="0" w:right="14" w:firstLine="0"/>
      <w:jc w:val="both"/>
      <w:rPr>
        <w:rFonts w:ascii="Book Antiqua" w:cs="Book Antiqua" w:eastAsia="Book Antiqua" w:hAnsi="Book Antiqua"/>
        <w:b w:val="1"/>
        <w:bCs w:val="1"/>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D’Economie et de Gestion</w:t>
      <w:tab/>
      <w:t xml:space="preserve">                                     </w:t>
    </w:r>
    <w:hyperlink r:id="rId1">
      <w:r w:rsidDel="00000000" w:rsidR="00000000" w:rsidRPr="00000000">
        <w:rPr>
          <w:rFonts w:ascii="Book Antiqua" w:cs="Book Antiqua" w:eastAsia="Book Antiqua" w:hAnsi="Book Antiqua"/>
          <w:b w:val="1"/>
          <w:bCs w:val="1"/>
          <w:i w:val="0"/>
          <w:iCs w:val="0"/>
          <w:smallCaps w:val="0"/>
          <w:strike w:val="0"/>
          <w:color w:val="0000ff"/>
          <w:sz w:val="20"/>
          <w:szCs w:val="20"/>
          <w:u w:val="single"/>
          <w:shd w:fill="auto" w:val="clear"/>
          <w:vertAlign w:val="baseline"/>
          <w:rtl w:val="0"/>
        </w:rPr>
        <w:t xml:space="preserve">www.rimege.com</w:t>
      </w:r>
    </w:hyperlink>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 </w:t>
      <w:tab/>
      <w:tab/>
      <w:t xml:space="preserve">Page </w:t>
    </w: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0">
    <w:pPr>
      <w:tabs>
        <w:tab w:val="right" w:leader="none" w:pos="9072"/>
      </w:tabs>
      <w:spacing w:line="276"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 Revue Internationale Multidisciplinaire</w:t>
    </w:r>
    <w:r w:rsidDel="00000000" w:rsidR="00000000" w:rsidRPr="00000000">
      <w:drawing>
        <wp:anchor allowOverlap="1" behindDoc="0" distB="0" distT="0" distL="114300" distR="114300" hidden="0" layoutInCell="1" locked="0" relativeHeight="0" simplePos="0">
          <wp:simplePos x="0" y="0"/>
          <wp:positionH relativeFrom="column">
            <wp:posOffset>4130675</wp:posOffset>
          </wp:positionH>
          <wp:positionV relativeFrom="paragraph">
            <wp:posOffset>-183514</wp:posOffset>
          </wp:positionV>
          <wp:extent cx="2260849" cy="628015"/>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60849" cy="628015"/>
                  </a:xfrm>
                  <a:prstGeom prst="rect"/>
                  <a:ln/>
                </pic:spPr>
              </pic:pic>
            </a:graphicData>
          </a:graphic>
        </wp:anchor>
      </w:drawing>
    </w:r>
  </w:p>
  <w:p w:rsidR="00000000" w:rsidDel="00000000" w:rsidP="00000000" w:rsidRDefault="00000000" w:rsidRPr="00000000" w14:paraId="00000271">
    <w:pPr>
      <w:tabs>
        <w:tab w:val="right" w:leader="none" w:pos="9072"/>
      </w:tabs>
      <w:spacing w:line="276" w:lineRule="auto"/>
      <w:rPr>
        <w:rFonts w:ascii="Book Antiqua" w:cs="Book Antiqua" w:eastAsia="Book Antiqua" w:hAnsi="Book Antiqua"/>
        <w:b w:val="1"/>
        <w:bCs w:val="1"/>
        <w:sz w:val="20"/>
        <w:szCs w:val="20"/>
      </w:rPr>
    </w:pPr>
    <w:r w:rsidDel="00000000" w:rsidR="00000000" w:rsidRPr="00000000">
      <w:rPr>
        <w:rFonts w:ascii="Book Antiqua" w:cs="Book Antiqua" w:eastAsia="Book Antiqua" w:hAnsi="Book Antiqua"/>
        <w:b w:val="1"/>
        <w:bCs w:val="1"/>
        <w:sz w:val="20"/>
        <w:szCs w:val="20"/>
        <w:rtl w:val="0"/>
      </w:rPr>
      <w:t xml:space="preserve">D’Economie et de Gestion</w:t>
    </w:r>
  </w:p>
  <w:p w:rsidR="00000000" w:rsidDel="00000000" w:rsidP="00000000" w:rsidRDefault="00000000" w:rsidRPr="00000000" w14:paraId="00000272">
    <w:pPr>
      <w:tabs>
        <w:tab w:val="left" w:leader="none" w:pos="5580"/>
        <w:tab w:val="left" w:leader="none" w:pos="6075"/>
      </w:tabs>
      <w:spacing w:line="276" w:lineRule="auto"/>
      <w:jc w:val="left"/>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ISSN :</w:t>
    </w:r>
  </w:p>
  <w:p w:rsidR="00000000" w:rsidDel="00000000" w:rsidP="00000000" w:rsidRDefault="00000000" w:rsidRPr="00000000" w14:paraId="00000273">
    <w:pPr>
      <w:tabs>
        <w:tab w:val="right" w:leader="none" w:pos="9072"/>
      </w:tabs>
      <w:spacing w:line="276" w:lineRule="auto"/>
      <w:rPr/>
    </w:pPr>
    <w:r w:rsidDel="00000000" w:rsidR="00000000" w:rsidRPr="00000000">
      <w:rPr>
        <w:rFonts w:ascii="Book Antiqua" w:cs="Book Antiqua" w:eastAsia="Book Antiqua" w:hAnsi="Book Antiqua"/>
        <w:sz w:val="20"/>
        <w:szCs w:val="20"/>
        <w:rtl w:val="0"/>
      </w:rPr>
      <w:t xml:space="preserve">Volume xx : Numéro yy</w:t>
    </w:r>
    <w:r w:rsidDel="00000000" w:rsidR="00000000" w:rsidRPr="00000000">
      <w:rPr>
        <w:rtl w:val="0"/>
      </w:rPr>
      <w:t xml:space="preserve">                                                         </w:t>
      <w:tab/>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76" w:lineRule="auto"/>
      <w:ind w:left="-993"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98/rstb.2019.0429" TargetMode="External"/><Relationship Id="rId10" Type="http://schemas.openxmlformats.org/officeDocument/2006/relationships/hyperlink" Target="https://onlinelibrary.wiley.com/toc/14756811/1998/5/4"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nlinelibrary.wiley.com/journal/14756811"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hyperlink" Target="https://onlinelibrary.wiley.com/doi/10.1111/j.1475-6811.1998.tb00177.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Arimo-regular.ttf"/><Relationship Id="rId11" Type="http://schemas.openxmlformats.org/officeDocument/2006/relationships/font" Target="fonts/BookAntiqua-boldItalic.ttf"/><Relationship Id="rId10" Type="http://schemas.openxmlformats.org/officeDocument/2006/relationships/font" Target="fonts/BookAntiqua-italic.ttf"/><Relationship Id="rId9" Type="http://schemas.openxmlformats.org/officeDocument/2006/relationships/font" Target="fonts/BookAntiqua-bold.ttf"/><Relationship Id="rId5" Type="http://schemas.openxmlformats.org/officeDocument/2006/relationships/font" Target="fonts/Arimo-bold.ttf"/><Relationship Id="rId6" Type="http://schemas.openxmlformats.org/officeDocument/2006/relationships/font" Target="fonts/Arimo-italic.ttf"/><Relationship Id="rId7" Type="http://schemas.openxmlformats.org/officeDocument/2006/relationships/font" Target="fonts/Arimo-boldItalic.ttf"/><Relationship Id="rId8" Type="http://schemas.openxmlformats.org/officeDocument/2006/relationships/font" Target="fonts/BookAntiqua-regular.ttf"/></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